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4423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942BC1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E52D1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4BC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44239">
        <w:rPr>
          <w:rFonts w:ascii="Times New Roman" w:eastAsia="Times New Roman" w:hAnsi="Times New Roman"/>
          <w:sz w:val="26"/>
          <w:szCs w:val="26"/>
          <w:lang w:eastAsia="ru-RU"/>
        </w:rPr>
        <w:t>преля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4239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9E203D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9E203D" w:rsidRP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  <w:sectPr w:rsidR="009E203D" w:rsidRPr="009E203D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E7630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2,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экспертизу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4BCB" w:rsidRPr="00CB094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4423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D4BCB" w:rsidRPr="00CB094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44239">
        <w:rPr>
          <w:rFonts w:ascii="Times New Roman" w:eastAsia="Times New Roman" w:hAnsi="Times New Roman"/>
          <w:sz w:val="27"/>
          <w:szCs w:val="27"/>
          <w:lang w:eastAsia="ru-RU"/>
        </w:rPr>
        <w:t>преля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000000"/>
          <w:sz w:val="27"/>
          <w:szCs w:val="27"/>
        </w:rPr>
        <w:t>заседании Совета депутатов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17 апреля 2024 года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244239">
              <w:rPr>
                <w:color w:val="000000"/>
                <w:sz w:val="24"/>
                <w:szCs w:val="24"/>
              </w:rPr>
              <w:t>1</w:t>
            </w:r>
            <w:r w:rsidR="005D4BCB">
              <w:rPr>
                <w:color w:val="000000"/>
                <w:sz w:val="24"/>
                <w:szCs w:val="24"/>
              </w:rPr>
              <w:t>9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613C2E">
              <w:rPr>
                <w:color w:val="000000"/>
                <w:sz w:val="24"/>
                <w:szCs w:val="24"/>
              </w:rPr>
              <w:t>0</w:t>
            </w:r>
            <w:r w:rsidR="00244239">
              <w:rPr>
                <w:color w:val="000000"/>
                <w:sz w:val="24"/>
                <w:szCs w:val="24"/>
              </w:rPr>
              <w:t>3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24423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244239">
              <w:rPr>
                <w:bCs/>
                <w:color w:val="000000"/>
                <w:sz w:val="24"/>
                <w:szCs w:val="24"/>
              </w:rPr>
              <w:t>4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</w:t>
            </w:r>
            <w:r w:rsidR="00244239">
              <w:rPr>
                <w:bCs/>
                <w:color w:val="000000"/>
                <w:sz w:val="24"/>
                <w:szCs w:val="24"/>
              </w:rPr>
              <w:t>19.</w:t>
            </w:r>
            <w:r w:rsidR="00613C2E">
              <w:rPr>
                <w:bCs/>
                <w:color w:val="000000"/>
                <w:sz w:val="24"/>
                <w:szCs w:val="24"/>
              </w:rPr>
              <w:t>0</w:t>
            </w:r>
            <w:r w:rsidR="00244239">
              <w:rPr>
                <w:bCs/>
                <w:color w:val="000000"/>
                <w:sz w:val="24"/>
                <w:szCs w:val="24"/>
              </w:rPr>
              <w:t>3.</w:t>
            </w:r>
            <w:r w:rsidR="00613C2E">
              <w:rPr>
                <w:bCs/>
                <w:color w:val="000000"/>
                <w:sz w:val="24"/>
                <w:szCs w:val="24"/>
              </w:rPr>
              <w:t>2024 №</w:t>
            </w:r>
            <w:r w:rsidR="00244239">
              <w:rPr>
                <w:bCs/>
                <w:color w:val="000000"/>
                <w:sz w:val="24"/>
                <w:szCs w:val="24"/>
              </w:rPr>
              <w:t>9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244239" w:rsidTr="00CB0943">
        <w:tc>
          <w:tcPr>
            <w:tcW w:w="2093" w:type="dxa"/>
          </w:tcPr>
          <w:p w:rsidR="00244239" w:rsidRPr="007C40F6" w:rsidRDefault="00244239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738 631,2</w:t>
            </w:r>
          </w:p>
        </w:tc>
        <w:tc>
          <w:tcPr>
            <w:tcW w:w="1657" w:type="dxa"/>
          </w:tcPr>
          <w:p w:rsidR="00244239" w:rsidRPr="007C40F6" w:rsidRDefault="0024423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773 676,6</w:t>
            </w:r>
          </w:p>
        </w:tc>
        <w:tc>
          <w:tcPr>
            <w:tcW w:w="2199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+35 045,4</w:t>
            </w:r>
          </w:p>
        </w:tc>
        <w:tc>
          <w:tcPr>
            <w:tcW w:w="1495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104,7 / (+4,7)</w:t>
            </w:r>
          </w:p>
        </w:tc>
      </w:tr>
      <w:tr w:rsidR="00244239" w:rsidTr="00CB0943">
        <w:tc>
          <w:tcPr>
            <w:tcW w:w="2093" w:type="dxa"/>
          </w:tcPr>
          <w:p w:rsidR="00244239" w:rsidRPr="007C40F6" w:rsidRDefault="00244239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798 266,3</w:t>
            </w:r>
          </w:p>
        </w:tc>
        <w:tc>
          <w:tcPr>
            <w:tcW w:w="1657" w:type="dxa"/>
          </w:tcPr>
          <w:p w:rsidR="00244239" w:rsidRPr="007C40F6" w:rsidRDefault="0024423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835 583,1</w:t>
            </w:r>
          </w:p>
        </w:tc>
        <w:tc>
          <w:tcPr>
            <w:tcW w:w="2199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+37 316,8</w:t>
            </w:r>
          </w:p>
        </w:tc>
        <w:tc>
          <w:tcPr>
            <w:tcW w:w="1495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104,7  /  (+4,7)</w:t>
            </w:r>
          </w:p>
        </w:tc>
      </w:tr>
      <w:tr w:rsidR="00244239" w:rsidTr="00CB0943">
        <w:tc>
          <w:tcPr>
            <w:tcW w:w="2093" w:type="dxa"/>
          </w:tcPr>
          <w:p w:rsidR="00244239" w:rsidRPr="007C40F6" w:rsidRDefault="00244239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-59 635,1</w:t>
            </w:r>
          </w:p>
        </w:tc>
        <w:tc>
          <w:tcPr>
            <w:tcW w:w="1657" w:type="dxa"/>
          </w:tcPr>
          <w:p w:rsidR="00244239" w:rsidRPr="007C40F6" w:rsidRDefault="00244239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-61 906,5</w:t>
            </w:r>
          </w:p>
        </w:tc>
        <w:tc>
          <w:tcPr>
            <w:tcW w:w="2199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-2 271,4</w:t>
            </w:r>
          </w:p>
        </w:tc>
        <w:tc>
          <w:tcPr>
            <w:tcW w:w="1495" w:type="dxa"/>
          </w:tcPr>
          <w:p w:rsidR="00244239" w:rsidRPr="007C40F6" w:rsidRDefault="0024423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103,8  /  (+3,8)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CE25D3" w:rsidTr="00CB0943">
        <w:tc>
          <w:tcPr>
            <w:tcW w:w="2093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1657" w:type="dxa"/>
          </w:tcPr>
          <w:p w:rsidR="00CE25D3" w:rsidRPr="007C40F6" w:rsidRDefault="0024423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712 587,1</w:t>
            </w:r>
          </w:p>
        </w:tc>
        <w:tc>
          <w:tcPr>
            <w:tcW w:w="2199" w:type="dxa"/>
          </w:tcPr>
          <w:p w:rsidR="00CE25D3" w:rsidRPr="007C40F6" w:rsidRDefault="0024423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+7 730,3</w:t>
            </w:r>
          </w:p>
        </w:tc>
        <w:tc>
          <w:tcPr>
            <w:tcW w:w="1495" w:type="dxa"/>
          </w:tcPr>
          <w:p w:rsidR="00CE25D3" w:rsidRPr="007C40F6" w:rsidRDefault="00B40AF0" w:rsidP="00B40AF0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101,1</w:t>
            </w:r>
            <w:r w:rsidR="00CE25D3">
              <w:rPr>
                <w:bCs/>
                <w:iCs/>
                <w:sz w:val="24"/>
                <w:szCs w:val="24"/>
              </w:rPr>
              <w:t xml:space="preserve">  /  (</w:t>
            </w:r>
            <w:r>
              <w:rPr>
                <w:bCs/>
                <w:iCs/>
                <w:sz w:val="24"/>
                <w:szCs w:val="24"/>
              </w:rPr>
              <w:t>+1,1</w:t>
            </w:r>
            <w:r w:rsidR="00CE25D3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B40AF0" w:rsidTr="00CB0943">
        <w:tc>
          <w:tcPr>
            <w:tcW w:w="2093" w:type="dxa"/>
          </w:tcPr>
          <w:p w:rsidR="00B40AF0" w:rsidRPr="007C40F6" w:rsidRDefault="00B40AF0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B40AF0" w:rsidRPr="007C40F6" w:rsidRDefault="00B40AF0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1657" w:type="dxa"/>
          </w:tcPr>
          <w:p w:rsidR="00B40AF0" w:rsidRPr="007C40F6" w:rsidRDefault="00B40AF0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712 587,1</w:t>
            </w:r>
          </w:p>
        </w:tc>
        <w:tc>
          <w:tcPr>
            <w:tcW w:w="2199" w:type="dxa"/>
          </w:tcPr>
          <w:p w:rsidR="00B40AF0" w:rsidRPr="007C40F6" w:rsidRDefault="00B40AF0" w:rsidP="00F76AD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+7 730,3</w:t>
            </w:r>
          </w:p>
        </w:tc>
        <w:tc>
          <w:tcPr>
            <w:tcW w:w="1495" w:type="dxa"/>
          </w:tcPr>
          <w:p w:rsidR="00B40AF0" w:rsidRPr="007C40F6" w:rsidRDefault="00B40AF0" w:rsidP="00F76AD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101,1  /  (+1,1)</w:t>
            </w:r>
          </w:p>
        </w:tc>
      </w:tr>
      <w:tr w:rsidR="00DD62CF" w:rsidTr="00CB0943">
        <w:tc>
          <w:tcPr>
            <w:tcW w:w="2093" w:type="dxa"/>
          </w:tcPr>
          <w:p w:rsidR="00DD62CF" w:rsidRPr="007C40F6" w:rsidRDefault="00DD62C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lastRenderedPageBreak/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244239" w:rsidTr="00CB0943">
        <w:tc>
          <w:tcPr>
            <w:tcW w:w="2093" w:type="dxa"/>
          </w:tcPr>
          <w:p w:rsidR="00244239" w:rsidRPr="007C40F6" w:rsidRDefault="00244239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244239" w:rsidRPr="007C40F6" w:rsidRDefault="00244239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678 178,9</w:t>
            </w:r>
          </w:p>
        </w:tc>
        <w:tc>
          <w:tcPr>
            <w:tcW w:w="1657" w:type="dxa"/>
          </w:tcPr>
          <w:p w:rsidR="00244239" w:rsidRPr="007C40F6" w:rsidRDefault="00B40AF0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686 109,0</w:t>
            </w:r>
          </w:p>
        </w:tc>
        <w:tc>
          <w:tcPr>
            <w:tcW w:w="2199" w:type="dxa"/>
          </w:tcPr>
          <w:p w:rsidR="00244239" w:rsidRPr="007C40F6" w:rsidRDefault="00B40AF0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+7 930,1</w:t>
            </w:r>
          </w:p>
        </w:tc>
        <w:tc>
          <w:tcPr>
            <w:tcW w:w="1495" w:type="dxa"/>
          </w:tcPr>
          <w:p w:rsidR="00244239" w:rsidRPr="007C40F6" w:rsidRDefault="00B40AF0" w:rsidP="00B40AF0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101,2</w:t>
            </w:r>
            <w:r w:rsidR="00244239">
              <w:rPr>
                <w:bCs/>
                <w:iCs/>
                <w:sz w:val="24"/>
                <w:szCs w:val="24"/>
              </w:rPr>
              <w:t xml:space="preserve">  /  (</w:t>
            </w:r>
            <w:r>
              <w:rPr>
                <w:bCs/>
                <w:iCs/>
                <w:sz w:val="24"/>
                <w:szCs w:val="24"/>
              </w:rPr>
              <w:t>+1,2</w:t>
            </w:r>
            <w:r w:rsidR="00244239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B40AF0" w:rsidTr="00CB0943">
        <w:tc>
          <w:tcPr>
            <w:tcW w:w="2093" w:type="dxa"/>
          </w:tcPr>
          <w:p w:rsidR="00B40AF0" w:rsidRPr="007C40F6" w:rsidRDefault="00B40AF0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B40AF0" w:rsidRPr="007C40F6" w:rsidRDefault="00B40AF0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678,178,9</w:t>
            </w:r>
          </w:p>
        </w:tc>
        <w:tc>
          <w:tcPr>
            <w:tcW w:w="1657" w:type="dxa"/>
          </w:tcPr>
          <w:p w:rsidR="00B40AF0" w:rsidRPr="007C40F6" w:rsidRDefault="00B40AF0" w:rsidP="00F76AD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686 109,0</w:t>
            </w:r>
          </w:p>
        </w:tc>
        <w:tc>
          <w:tcPr>
            <w:tcW w:w="2199" w:type="dxa"/>
          </w:tcPr>
          <w:p w:rsidR="00B40AF0" w:rsidRPr="007C40F6" w:rsidRDefault="00B40AF0" w:rsidP="00F76AD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+7 930,1</w:t>
            </w:r>
          </w:p>
        </w:tc>
        <w:tc>
          <w:tcPr>
            <w:tcW w:w="1495" w:type="dxa"/>
          </w:tcPr>
          <w:p w:rsidR="00B40AF0" w:rsidRPr="007C40F6" w:rsidRDefault="00B40AF0" w:rsidP="00F76AD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101,2  /  (+1,2)</w:t>
            </w:r>
          </w:p>
        </w:tc>
      </w:tr>
      <w:tr w:rsidR="00E76304" w:rsidTr="00CB0943">
        <w:tc>
          <w:tcPr>
            <w:tcW w:w="2093" w:type="dxa"/>
          </w:tcPr>
          <w:p w:rsidR="00E76304" w:rsidRPr="007C40F6" w:rsidRDefault="00E76304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CB0943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773 676,6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500 228,4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835 583,1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величилась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35 045,4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4,7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B40AF0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9.0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B40AF0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37 316,8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4,7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увеличится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B40AF0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9.0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B40AF0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2 271,4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или на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3,8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 части планового периода 2025 и 2026 годов.</w:t>
      </w:r>
    </w:p>
    <w:p w:rsidR="009D6A37" w:rsidRPr="003D5D8A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год: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712 587,1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420 308,7 тыс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 руб.;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712 587,1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10 280,9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9D6A37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9D6A37" w:rsidRPr="00B85724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 расходная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часть бюджета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бюджетом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от 19.03.2024 №9</w:t>
      </w:r>
      <w:r w:rsidR="009E203D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="009E203D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7 730,3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1,1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9D6A37" w:rsidRPr="00B85724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proofErr w:type="gramStart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утвержденными</w:t>
      </w:r>
      <w:proofErr w:type="gramEnd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бюджетными</w:t>
      </w:r>
    </w:p>
    <w:p w:rsidR="009E203D" w:rsidRDefault="009D6A37" w:rsidP="009D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9E203D" w:rsidSect="009E203D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назначениями останется неизменным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будет равен нулю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9D6A37" w:rsidRPr="003D5D8A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202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6</w:t>
      </w: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год: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686 109,0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375 393,5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руб.;</w:t>
      </w:r>
    </w:p>
    <w:p w:rsidR="009D6A37" w:rsidRPr="00F21A43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686 109,0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21 530,7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9D6A37" w:rsidRDefault="009D6A37" w:rsidP="009D6A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бюджета </w:t>
      </w:r>
      <w:proofErr w:type="gramStart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бездефицитным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9E203D" w:rsidRPr="00B85724" w:rsidRDefault="009E203D" w:rsidP="009E2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и расходная часть бюджета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утвержденным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бюджетом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от 19.03.2024 №9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7 930,1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1,2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A3A88" w:rsidSect="009E203D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9E203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9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9E203D">
              <w:rPr>
                <w:color w:val="1A1A1A"/>
                <w:lang w:eastAsia="ru-RU"/>
              </w:rPr>
              <w:t>1</w:t>
            </w:r>
            <w:r w:rsidR="005D5C75"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.</w:t>
            </w:r>
            <w:r w:rsidR="00CE0BE9">
              <w:rPr>
                <w:color w:val="1A1A1A"/>
                <w:lang w:eastAsia="ru-RU"/>
              </w:rPr>
              <w:t>0</w:t>
            </w:r>
            <w:r w:rsidR="009E203D">
              <w:rPr>
                <w:color w:val="1A1A1A"/>
                <w:lang w:eastAsia="ru-RU"/>
              </w:rPr>
              <w:t>3</w:t>
            </w:r>
            <w:r w:rsidRPr="00C31A9D">
              <w:rPr>
                <w:color w:val="1A1A1A"/>
                <w:lang w:eastAsia="ru-RU"/>
              </w:rPr>
              <w:t>.202</w:t>
            </w:r>
            <w:r w:rsidR="00CE0BE9">
              <w:rPr>
                <w:color w:val="1A1A1A"/>
                <w:lang w:eastAsia="ru-RU"/>
              </w:rPr>
              <w:t>4 №</w:t>
            </w:r>
            <w:r w:rsidR="009E203D"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9E203D" w:rsidTr="00922BD4">
        <w:tc>
          <w:tcPr>
            <w:tcW w:w="5211" w:type="dxa"/>
          </w:tcPr>
          <w:p w:rsidR="009E203D" w:rsidRPr="00210289" w:rsidRDefault="009E203D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9E203D" w:rsidRPr="00210289" w:rsidRDefault="009E203D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9E203D" w:rsidRPr="00210289" w:rsidRDefault="009E203D" w:rsidP="00F76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464 380,7</w:t>
            </w:r>
          </w:p>
        </w:tc>
        <w:tc>
          <w:tcPr>
            <w:tcW w:w="1701" w:type="dxa"/>
            <w:vAlign w:val="bottom"/>
          </w:tcPr>
          <w:p w:rsidR="009E203D" w:rsidRPr="00210289" w:rsidRDefault="003C64B4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499 426,1</w:t>
            </w:r>
          </w:p>
        </w:tc>
        <w:tc>
          <w:tcPr>
            <w:tcW w:w="1560" w:type="dxa"/>
          </w:tcPr>
          <w:p w:rsidR="009E203D" w:rsidRPr="00210289" w:rsidRDefault="003C64B4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+35 045,4</w:t>
            </w:r>
            <w:r w:rsidR="009E203D">
              <w:rPr>
                <w:b/>
                <w:color w:val="1A1A1A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E203D" w:rsidRPr="00210289" w:rsidRDefault="009E203D" w:rsidP="003C64B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3C64B4">
              <w:rPr>
                <w:b/>
                <w:color w:val="1A1A1A"/>
                <w:lang w:eastAsia="ru-RU"/>
              </w:rPr>
              <w:t>7,5</w:t>
            </w:r>
          </w:p>
        </w:tc>
      </w:tr>
      <w:tr w:rsidR="009E203D" w:rsidTr="00922BD4">
        <w:tc>
          <w:tcPr>
            <w:tcW w:w="5211" w:type="dxa"/>
          </w:tcPr>
          <w:p w:rsidR="009E203D" w:rsidRPr="00C31A9D" w:rsidRDefault="009E203D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9E203D" w:rsidRPr="00210289" w:rsidRDefault="009E203D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 xml:space="preserve">Российской </w:t>
            </w:r>
            <w:r w:rsidRPr="00C31A9D">
              <w:rPr>
                <w:b/>
                <w:color w:val="1A1A1A"/>
                <w:lang w:eastAsia="ru-RU"/>
              </w:rPr>
              <w:lastRenderedPageBreak/>
              <w:t>Федерации</w:t>
            </w:r>
          </w:p>
        </w:tc>
        <w:tc>
          <w:tcPr>
            <w:tcW w:w="2410" w:type="dxa"/>
          </w:tcPr>
          <w:p w:rsidR="009E203D" w:rsidRPr="00210289" w:rsidRDefault="009E203D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lastRenderedPageBreak/>
              <w:t>2 02 00000 00 0000 000</w:t>
            </w:r>
          </w:p>
        </w:tc>
        <w:tc>
          <w:tcPr>
            <w:tcW w:w="2126" w:type="dxa"/>
            <w:vAlign w:val="bottom"/>
          </w:tcPr>
          <w:p w:rsidR="009E203D" w:rsidRPr="00210289" w:rsidRDefault="009E203D" w:rsidP="00F76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465 183,0</w:t>
            </w:r>
          </w:p>
        </w:tc>
        <w:tc>
          <w:tcPr>
            <w:tcW w:w="1701" w:type="dxa"/>
            <w:vAlign w:val="bottom"/>
          </w:tcPr>
          <w:p w:rsidR="009E203D" w:rsidRPr="00210289" w:rsidRDefault="003C64B4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500 228,4</w:t>
            </w:r>
          </w:p>
        </w:tc>
        <w:tc>
          <w:tcPr>
            <w:tcW w:w="1560" w:type="dxa"/>
          </w:tcPr>
          <w:p w:rsidR="009E203D" w:rsidRDefault="009E203D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9E203D" w:rsidRPr="00210289" w:rsidRDefault="009E203D" w:rsidP="003C64B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3C64B4">
              <w:rPr>
                <w:b/>
                <w:color w:val="1A1A1A"/>
                <w:lang w:eastAsia="ru-RU"/>
              </w:rPr>
              <w:t>35 045,4</w:t>
            </w:r>
          </w:p>
        </w:tc>
        <w:tc>
          <w:tcPr>
            <w:tcW w:w="1842" w:type="dxa"/>
          </w:tcPr>
          <w:p w:rsidR="009E203D" w:rsidRDefault="009E203D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9E203D" w:rsidRPr="00210289" w:rsidRDefault="009E203D" w:rsidP="003C64B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3C64B4">
              <w:rPr>
                <w:b/>
                <w:color w:val="1A1A1A"/>
                <w:lang w:eastAsia="ru-RU"/>
              </w:rPr>
              <w:t>7,5</w:t>
            </w:r>
          </w:p>
        </w:tc>
      </w:tr>
      <w:tr w:rsidR="009E203D" w:rsidTr="007165FB">
        <w:tc>
          <w:tcPr>
            <w:tcW w:w="5211" w:type="dxa"/>
          </w:tcPr>
          <w:p w:rsidR="009E203D" w:rsidRPr="00C31A9D" w:rsidRDefault="009E203D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9E203D" w:rsidRPr="006132D6" w:rsidRDefault="009E203D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9E203D" w:rsidRPr="006132D6" w:rsidRDefault="009E203D" w:rsidP="00F76AD9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9E203D" w:rsidRPr="006132D6" w:rsidRDefault="009E203D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9E203D" w:rsidRPr="006132D6" w:rsidRDefault="009E203D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9E203D" w:rsidRPr="006132D6" w:rsidRDefault="009E203D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9E203D" w:rsidTr="006132D6">
        <w:tc>
          <w:tcPr>
            <w:tcW w:w="5211" w:type="dxa"/>
          </w:tcPr>
          <w:p w:rsidR="009E203D" w:rsidRPr="00C31A9D" w:rsidRDefault="009E203D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9E203D" w:rsidRPr="00C31A9D" w:rsidRDefault="009E203D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9E203D" w:rsidRPr="006132D6" w:rsidRDefault="009E203D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9E203D" w:rsidRPr="006132D6" w:rsidRDefault="009E203D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9E203D" w:rsidRPr="006132D6" w:rsidRDefault="009E203D" w:rsidP="00F76AD9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98 881,1</w:t>
            </w:r>
          </w:p>
        </w:tc>
        <w:tc>
          <w:tcPr>
            <w:tcW w:w="1701" w:type="dxa"/>
          </w:tcPr>
          <w:p w:rsidR="009E203D" w:rsidRPr="006132D6" w:rsidRDefault="003C64B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102 680,6</w:t>
            </w:r>
          </w:p>
        </w:tc>
        <w:tc>
          <w:tcPr>
            <w:tcW w:w="1560" w:type="dxa"/>
          </w:tcPr>
          <w:p w:rsidR="009E203D" w:rsidRPr="006132D6" w:rsidRDefault="003C64B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+3 799,5</w:t>
            </w:r>
          </w:p>
        </w:tc>
        <w:tc>
          <w:tcPr>
            <w:tcW w:w="1842" w:type="dxa"/>
          </w:tcPr>
          <w:p w:rsidR="009E203D" w:rsidRPr="006132D6" w:rsidRDefault="003C64B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+3,8</w:t>
            </w:r>
          </w:p>
        </w:tc>
      </w:tr>
      <w:tr w:rsidR="009E203D" w:rsidTr="007165FB">
        <w:tc>
          <w:tcPr>
            <w:tcW w:w="5211" w:type="dxa"/>
          </w:tcPr>
          <w:p w:rsidR="009E203D" w:rsidRPr="00C31A9D" w:rsidRDefault="009E203D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9E203D" w:rsidRPr="006132D6" w:rsidRDefault="009E203D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9E203D" w:rsidRPr="006132D6" w:rsidRDefault="009E203D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9E203D" w:rsidRPr="006132D6" w:rsidRDefault="009E203D" w:rsidP="00F76AD9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216 881,6</w:t>
            </w:r>
          </w:p>
        </w:tc>
        <w:tc>
          <w:tcPr>
            <w:tcW w:w="1701" w:type="dxa"/>
          </w:tcPr>
          <w:p w:rsidR="009E203D" w:rsidRPr="006132D6" w:rsidRDefault="003C64B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231 906,4</w:t>
            </w:r>
          </w:p>
        </w:tc>
        <w:tc>
          <w:tcPr>
            <w:tcW w:w="1560" w:type="dxa"/>
          </w:tcPr>
          <w:p w:rsidR="009E203D" w:rsidRPr="006132D6" w:rsidRDefault="003C64B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+15 024,8</w:t>
            </w:r>
          </w:p>
        </w:tc>
        <w:tc>
          <w:tcPr>
            <w:tcW w:w="1842" w:type="dxa"/>
          </w:tcPr>
          <w:p w:rsidR="009E203D" w:rsidRPr="006132D6" w:rsidRDefault="003C64B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+6,9</w:t>
            </w:r>
          </w:p>
        </w:tc>
      </w:tr>
      <w:tr w:rsidR="009E203D" w:rsidTr="006132D6">
        <w:tc>
          <w:tcPr>
            <w:tcW w:w="5211" w:type="dxa"/>
          </w:tcPr>
          <w:p w:rsidR="009E203D" w:rsidRPr="00C31A9D" w:rsidRDefault="009E203D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9E203D" w:rsidRPr="006132D6" w:rsidRDefault="009E203D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9E203D" w:rsidRDefault="009E203D" w:rsidP="00F76AD9">
            <w:pPr>
              <w:spacing w:after="0" w:line="240" w:lineRule="auto"/>
              <w:jc w:val="center"/>
            </w:pPr>
            <w:r>
              <w:rPr>
                <w:bCs/>
              </w:rPr>
              <w:t>1 303,4</w:t>
            </w:r>
          </w:p>
        </w:tc>
        <w:tc>
          <w:tcPr>
            <w:tcW w:w="1701" w:type="dxa"/>
          </w:tcPr>
          <w:p w:rsidR="009E203D" w:rsidRDefault="003C64B4" w:rsidP="00D46B68">
            <w:pPr>
              <w:spacing w:after="0" w:line="240" w:lineRule="auto"/>
              <w:jc w:val="center"/>
            </w:pPr>
            <w:r>
              <w:rPr>
                <w:bCs/>
              </w:rPr>
              <w:t>17 524,5</w:t>
            </w:r>
          </w:p>
        </w:tc>
        <w:tc>
          <w:tcPr>
            <w:tcW w:w="1560" w:type="dxa"/>
          </w:tcPr>
          <w:p w:rsidR="009E203D" w:rsidRPr="006132D6" w:rsidRDefault="003C64B4" w:rsidP="003C64B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+16 221,1</w:t>
            </w:r>
          </w:p>
        </w:tc>
        <w:tc>
          <w:tcPr>
            <w:tcW w:w="1842" w:type="dxa"/>
          </w:tcPr>
          <w:p w:rsidR="009E203D" w:rsidRPr="006132D6" w:rsidRDefault="009E203D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+46,7</w:t>
            </w:r>
          </w:p>
        </w:tc>
      </w:tr>
      <w:tr w:rsidR="009E203D" w:rsidTr="006132D6">
        <w:tc>
          <w:tcPr>
            <w:tcW w:w="5211" w:type="dxa"/>
          </w:tcPr>
          <w:p w:rsidR="009E203D" w:rsidRPr="00CE0BE9" w:rsidRDefault="009E203D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9E203D" w:rsidRDefault="009E203D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9E203D" w:rsidRPr="00CE0BE9" w:rsidRDefault="009E203D" w:rsidP="00F76AD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701" w:type="dxa"/>
          </w:tcPr>
          <w:p w:rsidR="009E203D" w:rsidRPr="00CE0BE9" w:rsidRDefault="009E203D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560" w:type="dxa"/>
          </w:tcPr>
          <w:p w:rsidR="009E203D" w:rsidRPr="00CE0BE9" w:rsidRDefault="003C64B4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9E203D" w:rsidRPr="00CE0BE9" w:rsidRDefault="003C64B4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</w:tbl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3C64B4">
        <w:rPr>
          <w:rFonts w:ascii="Times New Roman" w:hAnsi="Times New Roman"/>
          <w:color w:val="000000"/>
          <w:sz w:val="27"/>
          <w:szCs w:val="27"/>
        </w:rPr>
        <w:t>35 045,4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увеличивается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3C64B4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7,5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C64B4">
        <w:rPr>
          <w:rFonts w:ascii="Times New Roman" w:hAnsi="Times New Roman"/>
          <w:color w:val="000000"/>
          <w:sz w:val="27"/>
          <w:szCs w:val="27"/>
        </w:rPr>
        <w:t>35 045,4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CB0943" w:rsidRDefault="005F3ED6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76AD9">
        <w:rPr>
          <w:rFonts w:ascii="Times New Roman" w:hAnsi="Times New Roman"/>
          <w:color w:val="000000"/>
          <w:sz w:val="27"/>
          <w:szCs w:val="27"/>
        </w:rPr>
        <w:t>Безвозм</w:t>
      </w:r>
      <w:r w:rsidRPr="00CB0943">
        <w:rPr>
          <w:rFonts w:ascii="Times New Roman" w:hAnsi="Times New Roman"/>
          <w:color w:val="000000"/>
          <w:sz w:val="27"/>
          <w:szCs w:val="27"/>
        </w:rPr>
        <w:t>ездные поступления изменяются по следующим позициям:</w:t>
      </w:r>
    </w:p>
    <w:p w:rsidR="005F3ED6" w:rsidRPr="00A94B8B" w:rsidRDefault="005F3ED6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sz w:val="27"/>
          <w:szCs w:val="27"/>
          <w:lang w:eastAsia="ru-RU"/>
        </w:rPr>
        <w:t>-</w:t>
      </w:r>
      <w:r w:rsidRPr="00A94B8B">
        <w:rPr>
          <w:rFonts w:ascii="Times New Roman" w:hAnsi="Times New Roman"/>
          <w:b/>
          <w:sz w:val="27"/>
          <w:szCs w:val="27"/>
          <w:lang w:eastAsia="ru-RU"/>
        </w:rPr>
        <w:t>д</w:t>
      </w:r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 w:rsidR="00F76AD9" w:rsidRPr="00A94B8B">
        <w:rPr>
          <w:rFonts w:ascii="Times New Roman" w:hAnsi="Times New Roman"/>
          <w:b/>
          <w:sz w:val="27"/>
          <w:szCs w:val="27"/>
          <w:lang w:eastAsia="ru-RU"/>
        </w:rPr>
        <w:t>35 045,5</w:t>
      </w:r>
      <w:r w:rsidR="00922BD4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</w:t>
      </w:r>
      <w:r w:rsidR="006A3A88"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за счет</w:t>
      </w:r>
      <w:r w:rsidR="00926701" w:rsidRPr="00A94B8B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исполнению требований по антитеррористической защищенности объектов образования в сумме 1 671,3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сумме 2 128,3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собственного производства молока в сумме 262,7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 xml:space="preserve">субвенции на поддержку проведения 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агротехнологических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сумме 14 762,1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фонда на поддержку территорий в сумме 931,9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иных межбюджетных трансфертов на финансовое обеспечение деятельности центров образования цифрового и гуманитарного профилей «Точка роста» </w:t>
      </w:r>
      <w:r w:rsidRPr="00A94B8B">
        <w:rPr>
          <w:rFonts w:ascii="Times New Roman" w:hAnsi="Times New Roman"/>
          <w:sz w:val="27"/>
          <w:szCs w:val="27"/>
          <w:lang w:eastAsia="ru-RU"/>
        </w:rPr>
        <w:t>в сумме 3 112,0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>иных межбюджетных трансфертов на реализацию социально значимых мероприятий в рамках решения вопросов местного значения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 в сумме 2 750,0 тыс. рублей;</w:t>
      </w:r>
    </w:p>
    <w:p w:rsidR="00F76AD9" w:rsidRPr="00A94B8B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lastRenderedPageBreak/>
        <w:t>иных м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ежбюджетных трансфертов на финансовое обеспечение функционирования специализированных классов (кружков) на базе общеобразовательных процессов по разработке, производству и эксплуатации беспилотных авиационных систем </w:t>
      </w:r>
      <w:r w:rsidRPr="00A94B8B">
        <w:rPr>
          <w:rFonts w:ascii="Times New Roman" w:hAnsi="Times New Roman"/>
          <w:sz w:val="27"/>
          <w:szCs w:val="27"/>
          <w:lang w:eastAsia="ru-RU"/>
        </w:rPr>
        <w:t>в сумме 9 427,2 тыс. рублей.</w:t>
      </w:r>
    </w:p>
    <w:p w:rsidR="00F76AD9" w:rsidRPr="00F76AD9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A94B8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уменьшатся на 0,1 тыс. рублей 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за счет субсидии на реализацию мероприятий по модернизации школьных систем образования в сумме 0,1 тыс. рублей </w:t>
      </w:r>
      <w:r w:rsidRPr="00A94B8B">
        <w:rPr>
          <w:rFonts w:ascii="Times New Roman" w:hAnsi="Times New Roman"/>
          <w:sz w:val="27"/>
          <w:szCs w:val="27"/>
        </w:rPr>
        <w:t>(за счет округления)</w:t>
      </w:r>
      <w:r w:rsidRPr="00A94B8B">
        <w:rPr>
          <w:rFonts w:ascii="Times New Roman" w:hAnsi="Times New Roman"/>
          <w:sz w:val="27"/>
          <w:szCs w:val="27"/>
          <w:lang w:eastAsia="ru-RU"/>
        </w:rPr>
        <w:t>.</w:t>
      </w:r>
    </w:p>
    <w:p w:rsidR="00F76AD9" w:rsidRDefault="00F76AD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926701" w:rsidTr="00922BD4">
        <w:tc>
          <w:tcPr>
            <w:tcW w:w="5211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926701" w:rsidRPr="00D46B68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926701" w:rsidRPr="00C31A9D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926701" w:rsidRPr="00D46B68" w:rsidRDefault="00926701" w:rsidP="00836F7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F76AD9">
              <w:rPr>
                <w:color w:val="1A1A1A"/>
                <w:lang w:eastAsia="ru-RU"/>
              </w:rPr>
              <w:t>1</w:t>
            </w:r>
            <w:r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</w:t>
            </w:r>
            <w:r w:rsidR="00F76AD9">
              <w:rPr>
                <w:color w:val="1A1A1A"/>
                <w:lang w:eastAsia="ru-RU"/>
              </w:rPr>
              <w:t>3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</w:t>
            </w:r>
            <w:r w:rsidR="00F76AD9">
              <w:rPr>
                <w:color w:val="1A1A1A"/>
                <w:lang w:eastAsia="ru-RU"/>
              </w:rPr>
              <w:t>9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926701" w:rsidRPr="00C31A9D" w:rsidRDefault="00926701" w:rsidP="00836F7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926701" w:rsidRPr="00D46B68" w:rsidRDefault="00926701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926701" w:rsidRPr="00D46B68" w:rsidRDefault="00926701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926701" w:rsidRPr="00C31A9D" w:rsidRDefault="00926701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A3A88" w:rsidTr="00922BD4">
        <w:tc>
          <w:tcPr>
            <w:tcW w:w="5211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701" w:type="dxa"/>
            <w:vAlign w:val="bottom"/>
          </w:tcPr>
          <w:p w:rsidR="006A3A88" w:rsidRPr="00800CF6" w:rsidRDefault="00F76AD9" w:rsidP="00D01FE7">
            <w:pPr>
              <w:jc w:val="center"/>
              <w:rPr>
                <w:b/>
              </w:rPr>
            </w:pPr>
            <w:r>
              <w:rPr>
                <w:b/>
              </w:rPr>
              <w:t>420 308,7</w:t>
            </w:r>
          </w:p>
        </w:tc>
        <w:tc>
          <w:tcPr>
            <w:tcW w:w="1560" w:type="dxa"/>
          </w:tcPr>
          <w:p w:rsidR="006A3A88" w:rsidRPr="006A3A88" w:rsidRDefault="00F76AD9" w:rsidP="00F76AD9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+7 730,3</w:t>
            </w:r>
          </w:p>
        </w:tc>
        <w:tc>
          <w:tcPr>
            <w:tcW w:w="1842" w:type="dxa"/>
          </w:tcPr>
          <w:p w:rsidR="006A3A88" w:rsidRPr="006A3A88" w:rsidRDefault="0053042B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+1,9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A3A88" w:rsidRPr="00210289" w:rsidRDefault="006A3A88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701" w:type="dxa"/>
            <w:vAlign w:val="bottom"/>
          </w:tcPr>
          <w:p w:rsidR="006A3A88" w:rsidRPr="00800CF6" w:rsidRDefault="00F76AD9" w:rsidP="00D01FE7">
            <w:pPr>
              <w:jc w:val="center"/>
              <w:rPr>
                <w:b/>
              </w:rPr>
            </w:pPr>
            <w:r>
              <w:rPr>
                <w:b/>
              </w:rPr>
              <w:t>420 308,7</w:t>
            </w:r>
          </w:p>
        </w:tc>
        <w:tc>
          <w:tcPr>
            <w:tcW w:w="1560" w:type="dxa"/>
          </w:tcPr>
          <w:p w:rsidR="006A3A88" w:rsidRPr="006A3A88" w:rsidRDefault="00F76AD9" w:rsidP="006A3A88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+7 730,3</w:t>
            </w:r>
          </w:p>
        </w:tc>
        <w:tc>
          <w:tcPr>
            <w:tcW w:w="1842" w:type="dxa"/>
          </w:tcPr>
          <w:p w:rsidR="006A3A88" w:rsidRPr="006A3A88" w:rsidRDefault="0053042B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+1,9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A3A88" w:rsidRPr="006132D6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701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6A3A88">
            <w:pPr>
              <w:jc w:val="center"/>
            </w:pPr>
            <w:r w:rsidRPr="00521FF7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A3A88" w:rsidRPr="006132D6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206 223,8</w:t>
            </w:r>
          </w:p>
        </w:tc>
        <w:tc>
          <w:tcPr>
            <w:tcW w:w="1701" w:type="dxa"/>
          </w:tcPr>
          <w:p w:rsidR="006A3A88" w:rsidRPr="006132D6" w:rsidRDefault="00F76AD9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213 954,1</w:t>
            </w:r>
          </w:p>
        </w:tc>
        <w:tc>
          <w:tcPr>
            <w:tcW w:w="1560" w:type="dxa"/>
          </w:tcPr>
          <w:p w:rsidR="006A3A88" w:rsidRDefault="00F76AD9" w:rsidP="006A3A88">
            <w:pPr>
              <w:jc w:val="center"/>
            </w:pPr>
            <w:r>
              <w:rPr>
                <w:color w:val="1A1A1A"/>
                <w:lang w:eastAsia="ru-RU"/>
              </w:rPr>
              <w:t>+7 730,3</w:t>
            </w:r>
          </w:p>
        </w:tc>
        <w:tc>
          <w:tcPr>
            <w:tcW w:w="1842" w:type="dxa"/>
          </w:tcPr>
          <w:p w:rsidR="006A3A88" w:rsidRDefault="0053042B" w:rsidP="006A3A88">
            <w:pPr>
              <w:jc w:val="center"/>
            </w:pPr>
            <w:r>
              <w:rPr>
                <w:color w:val="1A1A1A"/>
                <w:lang w:eastAsia="ru-RU"/>
              </w:rPr>
              <w:t>+3,7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6A3A88" w:rsidRDefault="006A3A88" w:rsidP="007165FB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6A3A88" w:rsidRDefault="006A3A88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F76AD9" w:rsidRPr="00A94B8B" w:rsidRDefault="00F76AD9" w:rsidP="00F76AD9">
      <w:pPr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 xml:space="preserve">Изменения сложатся за счет выделения субвенции на поддержку проведения 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агротехнологических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сумме 7 730,3 тыс. рублей.</w:t>
      </w: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lastRenderedPageBreak/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F76AD9" w:rsidTr="00006DC8">
        <w:tc>
          <w:tcPr>
            <w:tcW w:w="5211" w:type="dxa"/>
          </w:tcPr>
          <w:p w:rsidR="00F76AD9" w:rsidRPr="00C31A9D" w:rsidRDefault="00F76AD9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F76AD9" w:rsidRPr="00C31A9D" w:rsidRDefault="00F76AD9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F76AD9" w:rsidRPr="00D46B68" w:rsidRDefault="00F76AD9" w:rsidP="00F76AD9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F76AD9" w:rsidRPr="00C31A9D" w:rsidRDefault="00F76AD9" w:rsidP="00F76AD9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F76AD9" w:rsidRPr="00D46B68" w:rsidRDefault="00F76AD9" w:rsidP="00F76AD9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>
              <w:rPr>
                <w:color w:val="1A1A1A"/>
                <w:lang w:eastAsia="ru-RU"/>
              </w:rPr>
              <w:t>19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03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№9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F76AD9" w:rsidRPr="00C31A9D" w:rsidRDefault="00F76AD9" w:rsidP="00F76AD9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F76AD9" w:rsidRPr="00D46B68" w:rsidRDefault="00F76AD9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F76AD9" w:rsidRPr="00D46B68" w:rsidRDefault="00F76AD9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F76AD9" w:rsidRPr="00C31A9D" w:rsidRDefault="00F76AD9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F76AD9" w:rsidRPr="00C31A9D" w:rsidRDefault="00F76AD9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F76AD9" w:rsidRPr="00C31A9D" w:rsidRDefault="00F76AD9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A3A88" w:rsidTr="00006DC8">
        <w:tc>
          <w:tcPr>
            <w:tcW w:w="5211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701" w:type="dxa"/>
            <w:vAlign w:val="bottom"/>
          </w:tcPr>
          <w:p w:rsidR="006A3A88" w:rsidRPr="00800CF6" w:rsidRDefault="00F76AD9" w:rsidP="00E01BD8">
            <w:pPr>
              <w:jc w:val="center"/>
              <w:rPr>
                <w:b/>
              </w:rPr>
            </w:pPr>
            <w:r>
              <w:rPr>
                <w:b/>
              </w:rPr>
              <w:t>375 393,5</w:t>
            </w:r>
          </w:p>
        </w:tc>
        <w:tc>
          <w:tcPr>
            <w:tcW w:w="1560" w:type="dxa"/>
          </w:tcPr>
          <w:p w:rsidR="006A3A88" w:rsidRPr="006A3A88" w:rsidRDefault="00F76AD9" w:rsidP="007165F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+7 930,1</w:t>
            </w:r>
          </w:p>
        </w:tc>
        <w:tc>
          <w:tcPr>
            <w:tcW w:w="1842" w:type="dxa"/>
          </w:tcPr>
          <w:p w:rsidR="006A3A88" w:rsidRPr="006A3A88" w:rsidRDefault="00F76AD9" w:rsidP="007165F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+2,2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A3A88" w:rsidRPr="00210289" w:rsidRDefault="006A3A8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701" w:type="dxa"/>
            <w:vAlign w:val="bottom"/>
          </w:tcPr>
          <w:p w:rsidR="006A3A88" w:rsidRPr="00800CF6" w:rsidRDefault="00F76AD9" w:rsidP="00E01BD8">
            <w:pPr>
              <w:jc w:val="center"/>
              <w:rPr>
                <w:b/>
              </w:rPr>
            </w:pPr>
            <w:r>
              <w:rPr>
                <w:b/>
              </w:rPr>
              <w:t>375 393,5</w:t>
            </w:r>
          </w:p>
        </w:tc>
        <w:tc>
          <w:tcPr>
            <w:tcW w:w="1560" w:type="dxa"/>
          </w:tcPr>
          <w:p w:rsidR="006A3A88" w:rsidRPr="006A3A88" w:rsidRDefault="00F76AD9" w:rsidP="007165F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+7 930,1</w:t>
            </w:r>
          </w:p>
        </w:tc>
        <w:tc>
          <w:tcPr>
            <w:tcW w:w="1842" w:type="dxa"/>
          </w:tcPr>
          <w:p w:rsidR="006A3A88" w:rsidRPr="006A3A88" w:rsidRDefault="0053042B" w:rsidP="007165F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+2,2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A3A88" w:rsidRPr="006132D6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A3A88" w:rsidRPr="006132D6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206 847,1</w:t>
            </w:r>
          </w:p>
        </w:tc>
        <w:tc>
          <w:tcPr>
            <w:tcW w:w="1701" w:type="dxa"/>
          </w:tcPr>
          <w:p w:rsidR="006A3A88" w:rsidRPr="006132D6" w:rsidRDefault="00F76AD9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214 777,2</w:t>
            </w:r>
          </w:p>
        </w:tc>
        <w:tc>
          <w:tcPr>
            <w:tcW w:w="1560" w:type="dxa"/>
          </w:tcPr>
          <w:p w:rsidR="006A3A88" w:rsidRDefault="00F76AD9" w:rsidP="007165FB">
            <w:pPr>
              <w:jc w:val="center"/>
            </w:pPr>
            <w:r>
              <w:rPr>
                <w:color w:val="1A1A1A"/>
                <w:lang w:eastAsia="ru-RU"/>
              </w:rPr>
              <w:t>+7 930,1</w:t>
            </w:r>
          </w:p>
        </w:tc>
        <w:tc>
          <w:tcPr>
            <w:tcW w:w="1842" w:type="dxa"/>
          </w:tcPr>
          <w:p w:rsidR="006A3A88" w:rsidRDefault="00F76AD9" w:rsidP="007165FB">
            <w:pPr>
              <w:jc w:val="center"/>
            </w:pPr>
            <w:r>
              <w:rPr>
                <w:color w:val="1A1A1A"/>
                <w:lang w:eastAsia="ru-RU"/>
              </w:rPr>
              <w:t>+3,8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7713D4" w:rsidRDefault="006A3A88" w:rsidP="007165FB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A3A88" w:rsidRPr="007713D4" w:rsidRDefault="006A3A88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53042B" w:rsidRDefault="0053042B" w:rsidP="0053042B">
      <w:pPr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t xml:space="preserve">Изменения сложатся за счет выделения субвенции на поддержку проведения 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агротехнологических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сумме 7 930,1 тыс. рублей.</w:t>
      </w:r>
    </w:p>
    <w:p w:rsidR="00A94B8B" w:rsidRPr="00A94B8B" w:rsidRDefault="00A94B8B" w:rsidP="0053042B">
      <w:pPr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A94B8B" w:rsidRPr="00A94B8B" w:rsidSect="009E203D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>Представленным проектом решения предусматривается рост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53042B">
        <w:rPr>
          <w:rFonts w:ascii="Times New Roman" w:hAnsi="Times New Roman"/>
          <w:color w:val="1A1A1A"/>
          <w:sz w:val="27"/>
          <w:szCs w:val="27"/>
        </w:rPr>
        <w:t>37 316,8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 </w:t>
      </w:r>
      <w:r w:rsidR="0053042B">
        <w:rPr>
          <w:rFonts w:ascii="Times New Roman" w:hAnsi="Times New Roman"/>
          <w:color w:val="1A1A1A"/>
          <w:sz w:val="27"/>
          <w:szCs w:val="27"/>
        </w:rPr>
        <w:t>4,7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53042B">
        <w:rPr>
          <w:rFonts w:ascii="Times New Roman" w:hAnsi="Times New Roman"/>
          <w:color w:val="1A1A1A"/>
          <w:sz w:val="27"/>
          <w:szCs w:val="27"/>
        </w:rPr>
        <w:t>835 583,1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53042B" w:rsidRPr="00CB0943">
        <w:rPr>
          <w:rFonts w:ascii="Times New Roman" w:hAnsi="Times New Roman"/>
          <w:color w:val="1A1A1A"/>
          <w:sz w:val="27"/>
          <w:szCs w:val="27"/>
        </w:rPr>
        <w:t xml:space="preserve">798 266,3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Pr="00CB0943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Default="006A3A88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A3A88" w:rsidSect="0053042B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5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3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3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53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3042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042B" w:rsidRPr="00650D91" w:rsidRDefault="0053042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042B" w:rsidRPr="00650D91" w:rsidRDefault="0053042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42B" w:rsidRPr="00650D91" w:rsidRDefault="0053042B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90 236,7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42B" w:rsidRPr="00650D91" w:rsidRDefault="003C3DBE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92 894,5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2B" w:rsidRPr="00650D91" w:rsidRDefault="003C3DBE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+2 657,8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2B" w:rsidRPr="00650D91" w:rsidRDefault="004F0550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+2,9</w:t>
            </w:r>
          </w:p>
        </w:tc>
      </w:tr>
      <w:tr w:rsidR="0053042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042B" w:rsidRPr="00650D91" w:rsidRDefault="0053042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042B" w:rsidRPr="00643A58" w:rsidRDefault="0053042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42B" w:rsidRPr="00650D91" w:rsidRDefault="0053042B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42B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2B" w:rsidRPr="00650D91" w:rsidRDefault="003C3DBE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2B" w:rsidRPr="00650D91" w:rsidRDefault="004F055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3DBE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4F0550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3DBE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91 510,3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108 860,5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+17 350,2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4F0550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+19,1</w:t>
            </w:r>
          </w:p>
        </w:tc>
      </w:tr>
      <w:tr w:rsidR="003C3DBE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95 375,6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95 467,8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3C3DBE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43A58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3DBE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321 421,2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337 903,0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+16 481,8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+5,1</w:t>
            </w:r>
          </w:p>
        </w:tc>
      </w:tr>
      <w:tr w:rsidR="003C3DBE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3DBE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3C3DBE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70 224,3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+633,4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+0,9</w:t>
            </w:r>
          </w:p>
        </w:tc>
      </w:tr>
      <w:tr w:rsidR="003C3DBE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DBE" w:rsidRPr="00650D91" w:rsidRDefault="003C3DBE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+1,8</w:t>
            </w:r>
          </w:p>
        </w:tc>
      </w:tr>
      <w:tr w:rsidR="003C3DBE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E" w:rsidRPr="00834966" w:rsidRDefault="003C3DBE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798 266,3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DBE" w:rsidRPr="00650D91" w:rsidRDefault="003C3DBE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835 583,1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+37 316,8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E" w:rsidRPr="00650D91" w:rsidRDefault="003C3DBE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+4,7</w:t>
            </w:r>
          </w:p>
        </w:tc>
      </w:tr>
    </w:tbl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Уточнение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4F0550" w:rsidRPr="00A94B8B" w:rsidRDefault="004F0550" w:rsidP="004F0550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A94B8B">
        <w:rPr>
          <w:b/>
          <w:bCs/>
          <w:sz w:val="27"/>
          <w:szCs w:val="27"/>
        </w:rPr>
        <w:t xml:space="preserve">По разделу 0100 «Общегосударственные вопросы» </w:t>
      </w:r>
      <w:r w:rsidRPr="00A94B8B">
        <w:rPr>
          <w:bCs/>
          <w:sz w:val="27"/>
          <w:szCs w:val="27"/>
        </w:rPr>
        <w:t xml:space="preserve">ассигнования увеличены на сумму </w:t>
      </w:r>
      <w:r w:rsidRPr="00A94B8B">
        <w:rPr>
          <w:b/>
          <w:bCs/>
          <w:sz w:val="27"/>
          <w:szCs w:val="27"/>
        </w:rPr>
        <w:t>2 657,8</w:t>
      </w:r>
      <w:r w:rsidRPr="00A94B8B">
        <w:rPr>
          <w:bCs/>
          <w:sz w:val="27"/>
          <w:szCs w:val="27"/>
        </w:rPr>
        <w:t xml:space="preserve"> тыс</w:t>
      </w:r>
      <w:proofErr w:type="gramStart"/>
      <w:r w:rsidRPr="00A94B8B">
        <w:rPr>
          <w:bCs/>
          <w:sz w:val="27"/>
          <w:szCs w:val="27"/>
        </w:rPr>
        <w:t>.р</w:t>
      </w:r>
      <w:proofErr w:type="gramEnd"/>
      <w:r w:rsidRPr="00A94B8B">
        <w:rPr>
          <w:bCs/>
          <w:sz w:val="27"/>
          <w:szCs w:val="27"/>
        </w:rPr>
        <w:t>ублей, в том числе:</w:t>
      </w:r>
    </w:p>
    <w:p w:rsidR="004F0550" w:rsidRPr="00A94B8B" w:rsidRDefault="004F0550" w:rsidP="004F0550">
      <w:pPr>
        <w:pStyle w:val="a6"/>
        <w:numPr>
          <w:ilvl w:val="1"/>
          <w:numId w:val="25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A94B8B">
        <w:rPr>
          <w:b/>
          <w:bCs/>
          <w:sz w:val="27"/>
          <w:szCs w:val="27"/>
        </w:rPr>
        <w:t>По подразделу 0104</w:t>
      </w:r>
      <w:r w:rsidRPr="00A94B8B">
        <w:rPr>
          <w:b/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A94B8B">
        <w:rPr>
          <w:bCs/>
          <w:sz w:val="27"/>
          <w:szCs w:val="27"/>
          <w:lang w:eastAsia="ru-RU"/>
        </w:rPr>
        <w:t xml:space="preserve"> ассигнования уменьшены на сумму 92,2 тыс</w:t>
      </w:r>
      <w:proofErr w:type="gramStart"/>
      <w:r w:rsidRPr="00A94B8B">
        <w:rPr>
          <w:bCs/>
          <w:sz w:val="27"/>
          <w:szCs w:val="27"/>
          <w:lang w:eastAsia="ru-RU"/>
        </w:rPr>
        <w:t>.р</w:t>
      </w:r>
      <w:proofErr w:type="gramEnd"/>
      <w:r w:rsidRPr="00A94B8B">
        <w:rPr>
          <w:bCs/>
          <w:sz w:val="27"/>
          <w:szCs w:val="27"/>
          <w:lang w:eastAsia="ru-RU"/>
        </w:rPr>
        <w:t xml:space="preserve">ублей </w:t>
      </w:r>
      <w:r w:rsidRPr="00A94B8B">
        <w:rPr>
          <w:sz w:val="27"/>
          <w:szCs w:val="27"/>
        </w:rPr>
        <w:t>за счет передвижки бюджетных ассигнований</w:t>
      </w:r>
      <w:r w:rsidRPr="00A94B8B">
        <w:rPr>
          <w:bCs/>
          <w:sz w:val="27"/>
          <w:szCs w:val="27"/>
        </w:rPr>
        <w:t xml:space="preserve"> </w:t>
      </w:r>
      <w:r w:rsidRPr="00A94B8B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A94B8B">
        <w:rPr>
          <w:sz w:val="27"/>
          <w:szCs w:val="27"/>
        </w:rPr>
        <w:t>Княгининского</w:t>
      </w:r>
      <w:proofErr w:type="spellEnd"/>
      <w:r w:rsidRPr="00A94B8B">
        <w:rPr>
          <w:sz w:val="27"/>
          <w:szCs w:val="27"/>
        </w:rPr>
        <w:t xml:space="preserve"> муниципального округа Нижегородской области».</w:t>
      </w:r>
    </w:p>
    <w:p w:rsidR="004F0550" w:rsidRPr="00A94B8B" w:rsidRDefault="004F0550" w:rsidP="004F0550">
      <w:pPr>
        <w:numPr>
          <w:ilvl w:val="1"/>
          <w:numId w:val="25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/>
          <w:bCs/>
          <w:sz w:val="27"/>
          <w:szCs w:val="27"/>
        </w:rPr>
        <w:t>По подразделу 0113 «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Другие общегосударственные вопросы»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A94B8B">
        <w:rPr>
          <w:rFonts w:ascii="Times New Roman" w:hAnsi="Times New Roman"/>
          <w:sz w:val="27"/>
          <w:szCs w:val="27"/>
        </w:rPr>
        <w:t>ассигнования увеличены на сумму 2 750,0 тыс</w:t>
      </w:r>
      <w:proofErr w:type="gramStart"/>
      <w:r w:rsidRPr="00A94B8B">
        <w:rPr>
          <w:rFonts w:ascii="Times New Roman" w:hAnsi="Times New Roman"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</w:rPr>
        <w:t xml:space="preserve">ублей 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за счет иных межбюджетных трансфертов из областного бюджета на реализацию социально значимых мероприятий в рамках решения вопросов местного значения. </w:t>
      </w:r>
    </w:p>
    <w:p w:rsidR="004F0550" w:rsidRPr="00A94B8B" w:rsidRDefault="004F0550" w:rsidP="004F0550">
      <w:pPr>
        <w:pStyle w:val="a6"/>
        <w:numPr>
          <w:ilvl w:val="0"/>
          <w:numId w:val="25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A94B8B">
        <w:rPr>
          <w:b/>
          <w:bCs/>
          <w:sz w:val="27"/>
          <w:szCs w:val="27"/>
          <w:lang w:eastAsia="ru-RU"/>
        </w:rPr>
        <w:t xml:space="preserve">По разделу </w:t>
      </w:r>
      <w:r w:rsidRPr="00A94B8B">
        <w:rPr>
          <w:b/>
          <w:sz w:val="27"/>
          <w:szCs w:val="27"/>
        </w:rPr>
        <w:t>0400 «Национальная экономика»</w:t>
      </w:r>
      <w:r w:rsidRPr="00A94B8B">
        <w:rPr>
          <w:sz w:val="27"/>
          <w:szCs w:val="27"/>
        </w:rPr>
        <w:t xml:space="preserve"> ассигнования увеличены </w:t>
      </w:r>
      <w:r w:rsidRPr="00A94B8B">
        <w:rPr>
          <w:bCs/>
          <w:sz w:val="27"/>
          <w:szCs w:val="27"/>
          <w:lang w:eastAsia="ru-RU"/>
        </w:rPr>
        <w:t xml:space="preserve">на сумму </w:t>
      </w:r>
      <w:r w:rsidRPr="00A94B8B">
        <w:rPr>
          <w:b/>
          <w:bCs/>
          <w:sz w:val="27"/>
          <w:szCs w:val="27"/>
          <w:lang w:eastAsia="ru-RU"/>
        </w:rPr>
        <w:t xml:space="preserve">17 350,2 </w:t>
      </w:r>
      <w:r w:rsidRPr="00A94B8B">
        <w:rPr>
          <w:bCs/>
          <w:sz w:val="27"/>
          <w:szCs w:val="27"/>
          <w:lang w:eastAsia="ru-RU"/>
        </w:rPr>
        <w:t>тыс</w:t>
      </w:r>
      <w:proofErr w:type="gramStart"/>
      <w:r w:rsidRPr="00A94B8B">
        <w:rPr>
          <w:bCs/>
          <w:sz w:val="27"/>
          <w:szCs w:val="27"/>
          <w:lang w:eastAsia="ru-RU"/>
        </w:rPr>
        <w:t>.р</w:t>
      </w:r>
      <w:proofErr w:type="gramEnd"/>
      <w:r w:rsidRPr="00A94B8B">
        <w:rPr>
          <w:bCs/>
          <w:sz w:val="27"/>
          <w:szCs w:val="27"/>
          <w:lang w:eastAsia="ru-RU"/>
        </w:rPr>
        <w:t>ублей, в том числе: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2.1.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0405 «Сельское хозяйство и рыболовство»</w:t>
      </w:r>
      <w:r w:rsidRPr="00A94B8B">
        <w:rPr>
          <w:rFonts w:ascii="Times New Roman" w:hAnsi="Times New Roman"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sz w:val="27"/>
          <w:szCs w:val="27"/>
        </w:rPr>
        <w:t>ассигнования увеличены на сумму 15 024,8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 xml:space="preserve">субвенций на поддержку проведения </w:t>
      </w:r>
      <w:proofErr w:type="spellStart"/>
      <w:r w:rsidRPr="00A94B8B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A94B8B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7"/>
          <w:szCs w:val="27"/>
        </w:rPr>
      </w:pPr>
      <w:r w:rsidRPr="00A94B8B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i/>
          <w:sz w:val="27"/>
          <w:szCs w:val="27"/>
        </w:rPr>
        <w:t>12 949,5 тыс</w:t>
      </w:r>
      <w:proofErr w:type="gramStart"/>
      <w:r w:rsidRPr="00A94B8B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7"/>
          <w:szCs w:val="27"/>
        </w:rPr>
      </w:pPr>
      <w:r w:rsidRPr="00A94B8B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i/>
          <w:sz w:val="27"/>
          <w:szCs w:val="27"/>
        </w:rPr>
        <w:t>1 812,6 тыс</w:t>
      </w:r>
      <w:proofErr w:type="gramStart"/>
      <w:r w:rsidRPr="00A94B8B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>субвенций на возмещение части затрат на поддержку собственного производства молока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7"/>
          <w:szCs w:val="27"/>
        </w:rPr>
      </w:pPr>
      <w:r w:rsidRPr="00A94B8B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i/>
          <w:sz w:val="27"/>
          <w:szCs w:val="27"/>
        </w:rPr>
        <w:t>63,0 тыс</w:t>
      </w:r>
      <w:proofErr w:type="gramStart"/>
      <w:r w:rsidRPr="00A94B8B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7"/>
          <w:szCs w:val="27"/>
        </w:rPr>
      </w:pPr>
      <w:r w:rsidRPr="00A94B8B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в сумме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i/>
          <w:sz w:val="27"/>
          <w:szCs w:val="27"/>
        </w:rPr>
        <w:t>199,7 тыс</w:t>
      </w:r>
      <w:proofErr w:type="gramStart"/>
      <w:r w:rsidRPr="00A94B8B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2.2.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0408 «Транспорт»</w:t>
      </w:r>
      <w:r w:rsidRPr="00A94B8B">
        <w:rPr>
          <w:rFonts w:ascii="Times New Roman" w:hAnsi="Times New Roman"/>
          <w:sz w:val="27"/>
          <w:szCs w:val="27"/>
        </w:rPr>
        <w:t xml:space="preserve"> ассигнования увеличены 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>на сумму 197,1 тыс</w:t>
      </w:r>
      <w:proofErr w:type="gramStart"/>
      <w:r w:rsidRPr="00A94B8B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Pr="00A94B8B">
        <w:rPr>
          <w:rFonts w:ascii="Times New Roman" w:hAnsi="Times New Roman"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sz w:val="27"/>
          <w:szCs w:val="27"/>
        </w:rPr>
        <w:t xml:space="preserve">за счет средств фонда на поддержку территорий на приобретение мебели и оборудования для автостанции г. </w:t>
      </w:r>
      <w:proofErr w:type="spellStart"/>
      <w:r w:rsidRPr="00A94B8B">
        <w:rPr>
          <w:rFonts w:ascii="Times New Roman" w:hAnsi="Times New Roman"/>
          <w:bCs/>
          <w:sz w:val="27"/>
          <w:szCs w:val="27"/>
        </w:rPr>
        <w:t>Княгинино</w:t>
      </w:r>
      <w:proofErr w:type="spellEnd"/>
      <w:r w:rsidRPr="00A94B8B">
        <w:rPr>
          <w:rFonts w:ascii="Times New Roman" w:hAnsi="Times New Roman"/>
          <w:bCs/>
          <w:sz w:val="27"/>
          <w:szCs w:val="27"/>
        </w:rPr>
        <w:t xml:space="preserve">. </w:t>
      </w:r>
    </w:p>
    <w:p w:rsidR="004F0550" w:rsidRPr="00A94B8B" w:rsidRDefault="004F0550" w:rsidP="004F055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2.3.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0409 «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Дорожное хозяйство (дорожные фонды)</w:t>
      </w:r>
      <w:r w:rsidRPr="00A94B8B">
        <w:rPr>
          <w:rFonts w:ascii="Times New Roman" w:hAnsi="Times New Roman"/>
          <w:b/>
          <w:sz w:val="27"/>
          <w:szCs w:val="27"/>
        </w:rPr>
        <w:t>»</w:t>
      </w:r>
      <w:r w:rsidRPr="00A94B8B">
        <w:rPr>
          <w:rFonts w:ascii="Times New Roman" w:hAnsi="Times New Roman"/>
          <w:sz w:val="27"/>
          <w:szCs w:val="27"/>
        </w:rPr>
        <w:t xml:space="preserve"> ассигнования увеличены на сумму 2 128,3 тыс</w:t>
      </w:r>
      <w:proofErr w:type="gramStart"/>
      <w:r w:rsidRPr="00A94B8B">
        <w:rPr>
          <w:rFonts w:ascii="Times New Roman" w:hAnsi="Times New Roman"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</w:rPr>
        <w:t xml:space="preserve">ублей за счет </w:t>
      </w:r>
      <w:r w:rsidRPr="00A94B8B">
        <w:rPr>
          <w:rFonts w:ascii="Times New Roman" w:hAnsi="Times New Roman"/>
          <w:bCs/>
          <w:sz w:val="27"/>
          <w:szCs w:val="27"/>
        </w:rPr>
        <w:t>субсидий из областного бюджета на капитальный ремонт и ремонт автомобильных дорог общего пользования местного значения.</w:t>
      </w:r>
    </w:p>
    <w:p w:rsidR="004F0550" w:rsidRPr="00A94B8B" w:rsidRDefault="004F0550" w:rsidP="004F0550">
      <w:pPr>
        <w:pStyle w:val="a6"/>
        <w:autoSpaceDE w:val="0"/>
        <w:ind w:left="0" w:firstLine="709"/>
        <w:jc w:val="both"/>
        <w:rPr>
          <w:sz w:val="27"/>
          <w:szCs w:val="27"/>
        </w:rPr>
      </w:pPr>
      <w:r w:rsidRPr="00A94B8B">
        <w:rPr>
          <w:sz w:val="27"/>
          <w:szCs w:val="27"/>
        </w:rPr>
        <w:t xml:space="preserve">3. </w:t>
      </w:r>
      <w:r w:rsidRPr="00A94B8B">
        <w:rPr>
          <w:b/>
          <w:sz w:val="27"/>
          <w:szCs w:val="27"/>
        </w:rPr>
        <w:t>По разделу 0500 «</w:t>
      </w:r>
      <w:r w:rsidRPr="00A94B8B">
        <w:rPr>
          <w:b/>
          <w:bCs/>
          <w:sz w:val="27"/>
          <w:szCs w:val="27"/>
          <w:lang w:eastAsia="ru-RU"/>
        </w:rPr>
        <w:t xml:space="preserve">Жилищно-коммунальное хозяйство» </w:t>
      </w:r>
      <w:r w:rsidRPr="00A94B8B">
        <w:rPr>
          <w:b/>
          <w:sz w:val="27"/>
          <w:szCs w:val="27"/>
        </w:rPr>
        <w:t>подразделу 0501 «Жилищное хозяйство»</w:t>
      </w:r>
      <w:r w:rsidRPr="00A94B8B">
        <w:rPr>
          <w:sz w:val="27"/>
          <w:szCs w:val="27"/>
        </w:rPr>
        <w:t xml:space="preserve"> </w:t>
      </w:r>
      <w:r w:rsidRPr="00A94B8B">
        <w:rPr>
          <w:bCs/>
          <w:sz w:val="27"/>
          <w:szCs w:val="27"/>
          <w:lang w:eastAsia="ru-RU"/>
        </w:rPr>
        <w:t xml:space="preserve">ассигнования увеличены на сумму </w:t>
      </w:r>
      <w:r w:rsidRPr="00A94B8B">
        <w:rPr>
          <w:bCs/>
          <w:sz w:val="27"/>
          <w:szCs w:val="27"/>
        </w:rPr>
        <w:t xml:space="preserve">на сумму </w:t>
      </w:r>
      <w:r w:rsidRPr="00A94B8B">
        <w:rPr>
          <w:b/>
          <w:bCs/>
          <w:sz w:val="27"/>
          <w:szCs w:val="27"/>
        </w:rPr>
        <w:t>92,2</w:t>
      </w:r>
      <w:r w:rsidRPr="00A94B8B">
        <w:rPr>
          <w:bCs/>
          <w:sz w:val="27"/>
          <w:szCs w:val="27"/>
        </w:rPr>
        <w:t xml:space="preserve"> тыс</w:t>
      </w:r>
      <w:proofErr w:type="gramStart"/>
      <w:r w:rsidRPr="00A94B8B">
        <w:rPr>
          <w:bCs/>
          <w:sz w:val="27"/>
          <w:szCs w:val="27"/>
        </w:rPr>
        <w:t>.р</w:t>
      </w:r>
      <w:proofErr w:type="gramEnd"/>
      <w:r w:rsidRPr="00A94B8B">
        <w:rPr>
          <w:bCs/>
          <w:sz w:val="27"/>
          <w:szCs w:val="27"/>
        </w:rPr>
        <w:t>ублей</w:t>
      </w:r>
      <w:r w:rsidRPr="00A94B8B">
        <w:rPr>
          <w:sz w:val="27"/>
          <w:szCs w:val="27"/>
        </w:rPr>
        <w:t xml:space="preserve"> за счет передвижки бюджетных ассигнований</w:t>
      </w:r>
      <w:r w:rsidRPr="00A94B8B">
        <w:rPr>
          <w:bCs/>
          <w:sz w:val="27"/>
          <w:szCs w:val="27"/>
        </w:rPr>
        <w:t xml:space="preserve"> </w:t>
      </w:r>
      <w:r w:rsidRPr="00A94B8B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A94B8B">
        <w:rPr>
          <w:sz w:val="27"/>
          <w:szCs w:val="27"/>
        </w:rPr>
        <w:t>Княгининского</w:t>
      </w:r>
      <w:proofErr w:type="spellEnd"/>
      <w:r w:rsidRPr="00A94B8B">
        <w:rPr>
          <w:sz w:val="27"/>
          <w:szCs w:val="27"/>
        </w:rPr>
        <w:t xml:space="preserve"> муниципального округа Нижегородской области».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4.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16 481,8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A94B8B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4.1.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0701 «Дошкольное образование</w:t>
      </w:r>
      <w:r w:rsidRPr="00A94B8B">
        <w:rPr>
          <w:rFonts w:ascii="Times New Roman" w:hAnsi="Times New Roman"/>
          <w:sz w:val="27"/>
          <w:szCs w:val="27"/>
        </w:rPr>
        <w:t>» ассигнования увеличены на сумму 1 249,7 тыс</w:t>
      </w:r>
      <w:proofErr w:type="gramStart"/>
      <w:r w:rsidRPr="00A94B8B">
        <w:rPr>
          <w:rFonts w:ascii="Times New Roman" w:hAnsi="Times New Roman"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</w:rPr>
        <w:t>ублей на предоставление субсидий на иные цели муниципальным бюджетным дошкольным образовательным учреждениям на финансирование мероприятий по подготовке проектно-сметной документации, в том числе за счет уточнения остатков нецелевых средств, сложившихся на счете по состоянию на 01.01.2024 года</w:t>
      </w:r>
      <w:r w:rsidRPr="00A94B8B">
        <w:rPr>
          <w:rFonts w:ascii="Times New Roman" w:hAnsi="Times New Roman"/>
          <w:bCs/>
          <w:sz w:val="27"/>
          <w:szCs w:val="27"/>
        </w:rPr>
        <w:t xml:space="preserve"> на сумму 600,0 тыс.рублей, </w:t>
      </w:r>
      <w:r w:rsidRPr="00A94B8B">
        <w:rPr>
          <w:rFonts w:ascii="Times New Roman" w:hAnsi="Times New Roman"/>
          <w:sz w:val="27"/>
          <w:szCs w:val="27"/>
        </w:rPr>
        <w:t>за счет передвижки бюджетных ассигнований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A94B8B">
        <w:rPr>
          <w:rFonts w:ascii="Times New Roman" w:hAnsi="Times New Roman"/>
          <w:bCs/>
          <w:sz w:val="27"/>
          <w:szCs w:val="27"/>
        </w:rPr>
        <w:t>«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администрации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 на сумму 649,7 тыс</w:t>
      </w:r>
      <w:proofErr w:type="gramStart"/>
      <w:r w:rsidRPr="00A94B8B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4.2.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0702 «Общее образование»</w:t>
      </w:r>
      <w:r w:rsidRPr="00A94B8B">
        <w:rPr>
          <w:rFonts w:ascii="Times New Roman" w:hAnsi="Times New Roman"/>
          <w:sz w:val="27"/>
          <w:szCs w:val="27"/>
        </w:rPr>
        <w:t xml:space="preserve"> ассигнования увеличены </w:t>
      </w:r>
      <w:r w:rsidRPr="00A94B8B">
        <w:rPr>
          <w:rFonts w:ascii="Times New Roman" w:hAnsi="Times New Roman"/>
          <w:bCs/>
          <w:sz w:val="27"/>
          <w:szCs w:val="27"/>
        </w:rPr>
        <w:t>на сумму 2 615,1</w:t>
      </w:r>
      <w:r w:rsidRPr="00A94B8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3 112,0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 xml:space="preserve">ублей  за счет иных межбюджетных трансфертов из областного бюджета на финансовое обеспечение деятельности центров образования цифрового и гуманитарного профилей «Точка роста». 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496,9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 xml:space="preserve">ублей </w:t>
      </w:r>
      <w:r w:rsidRPr="00A94B8B">
        <w:rPr>
          <w:rFonts w:ascii="Times New Roman" w:hAnsi="Times New Roman"/>
          <w:sz w:val="27"/>
          <w:szCs w:val="27"/>
        </w:rPr>
        <w:t>за счет передвижки бюджетных ассигнований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A94B8B">
        <w:rPr>
          <w:rFonts w:ascii="Times New Roman" w:hAnsi="Times New Roman"/>
          <w:bCs/>
          <w:sz w:val="27"/>
          <w:szCs w:val="27"/>
        </w:rPr>
        <w:t>«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  <w:lang w:eastAsia="ru-RU"/>
        </w:rPr>
        <w:lastRenderedPageBreak/>
        <w:t xml:space="preserve">4.3.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0703 «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Дополнительное образование детей»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152,8 тыс</w:t>
      </w:r>
      <w:proofErr w:type="gramStart"/>
      <w:r w:rsidRPr="00A94B8B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Pr="00A94B8B">
        <w:rPr>
          <w:rFonts w:ascii="Times New Roman" w:hAnsi="Times New Roman"/>
          <w:sz w:val="27"/>
          <w:szCs w:val="27"/>
        </w:rPr>
        <w:t xml:space="preserve"> за счет передвижки бюджетных ассигнований</w:t>
      </w:r>
      <w:r w:rsidRPr="00A94B8B">
        <w:rPr>
          <w:rFonts w:ascii="Times New Roman" w:hAnsi="Times New Roman"/>
          <w:bCs/>
          <w:sz w:val="27"/>
          <w:szCs w:val="27"/>
        </w:rPr>
        <w:t xml:space="preserve"> </w:t>
      </w:r>
      <w:r w:rsidRPr="00A94B8B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A94B8B">
        <w:rPr>
          <w:rFonts w:ascii="Times New Roman" w:hAnsi="Times New Roman"/>
          <w:bCs/>
          <w:sz w:val="27"/>
          <w:szCs w:val="27"/>
        </w:rPr>
        <w:t>«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A94B8B">
        <w:rPr>
          <w:rFonts w:ascii="Times New Roman" w:hAnsi="Times New Roman"/>
          <w:sz w:val="27"/>
          <w:szCs w:val="27"/>
        </w:rPr>
        <w:t xml:space="preserve">4.4.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A94B8B">
        <w:rPr>
          <w:rFonts w:ascii="Times New Roman" w:hAnsi="Times New Roman"/>
          <w:b/>
          <w:sz w:val="27"/>
          <w:szCs w:val="27"/>
        </w:rPr>
        <w:t>подразделу 0709 «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Другие вопросы в области образования»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12 769,8 тыс</w:t>
      </w:r>
      <w:proofErr w:type="gramStart"/>
      <w:r w:rsidRPr="00A94B8B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  <w:lang w:eastAsia="ru-RU"/>
        </w:rPr>
        <w:t>ублей, в том числе за счет: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sz w:val="27"/>
          <w:szCs w:val="27"/>
        </w:rPr>
        <w:t>уточнения остатков нецелевых средств, сложившихся на счете по состоянию на 01.01.2024 года</w:t>
      </w:r>
      <w:r w:rsidRPr="00A94B8B">
        <w:rPr>
          <w:rFonts w:ascii="Times New Roman" w:hAnsi="Times New Roman"/>
          <w:bCs/>
          <w:sz w:val="27"/>
          <w:szCs w:val="27"/>
        </w:rPr>
        <w:t xml:space="preserve"> на реализацию мероприятий по исполнению требований антитеррористической защищенности объектов образования в сумме 1 671,3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ублей;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>субсидий из областного бюджета на реализацию мероприятий по исполнению требований антитеррористической защищенности объектов образования в сумме 1 671,3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ублей;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>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 в сумме 9 427,2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 xml:space="preserve">5. </w:t>
      </w:r>
      <w:r w:rsidRPr="00A94B8B">
        <w:rPr>
          <w:rFonts w:ascii="Times New Roman" w:hAnsi="Times New Roman"/>
          <w:b/>
          <w:bCs/>
          <w:sz w:val="27"/>
          <w:szCs w:val="27"/>
        </w:rPr>
        <w:t xml:space="preserve">По разделу 1100 «Физическая </w:t>
      </w:r>
      <w:r w:rsidRPr="00A94B8B">
        <w:rPr>
          <w:rFonts w:ascii="Times New Roman" w:hAnsi="Times New Roman"/>
          <w:b/>
          <w:bCs/>
          <w:sz w:val="27"/>
          <w:szCs w:val="27"/>
          <w:lang w:eastAsia="ru-RU"/>
        </w:rPr>
        <w:t>культура и спорт» подразделу 1102 «Массовый спорт»</w:t>
      </w:r>
      <w:r w:rsidRPr="00A94B8B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A94B8B">
        <w:rPr>
          <w:rFonts w:ascii="Times New Roman" w:hAnsi="Times New Roman"/>
          <w:bCs/>
          <w:sz w:val="27"/>
          <w:szCs w:val="27"/>
        </w:rPr>
        <w:t xml:space="preserve"> увеличены на сумму </w:t>
      </w:r>
      <w:r w:rsidRPr="00A94B8B">
        <w:rPr>
          <w:rFonts w:ascii="Times New Roman" w:hAnsi="Times New Roman"/>
          <w:b/>
          <w:bCs/>
          <w:sz w:val="27"/>
          <w:szCs w:val="27"/>
        </w:rPr>
        <w:t>633,4</w:t>
      </w:r>
      <w:r w:rsidRPr="00A94B8B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 за счет </w:t>
      </w:r>
      <w:r w:rsidRPr="00A94B8B">
        <w:rPr>
          <w:rFonts w:ascii="Times New Roman" w:hAnsi="Times New Roman"/>
          <w:bCs/>
          <w:sz w:val="27"/>
          <w:szCs w:val="27"/>
        </w:rPr>
        <w:t>средств фонда на поддержку территорий на предоставление субсидий на иные цели муниципальному автономному учреждению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  «Физкультурно-оздоровительный комплекс «Молодежный» на приобретение хоккейных клюшек для мужской команды «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Княгинино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>» в сумме 320,0 тыс.рублей и на организацию проведения международной спартакиады ВФСК ГТО «ГТО - путь к успеху» в сумме 313,4 тыс</w:t>
      </w:r>
      <w:proofErr w:type="gramStart"/>
      <w:r w:rsidRPr="00A94B8B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4F0550" w:rsidRPr="00A94B8B" w:rsidRDefault="004F0550" w:rsidP="004F055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 xml:space="preserve">6. </w:t>
      </w:r>
      <w:r w:rsidRPr="00A94B8B">
        <w:rPr>
          <w:rFonts w:ascii="Times New Roman" w:hAnsi="Times New Roman"/>
          <w:b/>
          <w:bCs/>
          <w:sz w:val="27"/>
          <w:szCs w:val="27"/>
        </w:rPr>
        <w:t>По разделу 1200 «Средства массовой информации» подразделу 1202 «Периодическая печать и издательства»</w:t>
      </w:r>
      <w:r w:rsidRPr="00A94B8B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A94B8B">
        <w:rPr>
          <w:rFonts w:ascii="Times New Roman" w:hAnsi="Times New Roman"/>
          <w:b/>
          <w:bCs/>
          <w:sz w:val="27"/>
          <w:szCs w:val="27"/>
        </w:rPr>
        <w:t>101,4</w:t>
      </w:r>
      <w:r w:rsidRPr="00A94B8B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A94B8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A94B8B">
        <w:rPr>
          <w:rFonts w:ascii="Times New Roman" w:hAnsi="Times New Roman"/>
          <w:bCs/>
          <w:sz w:val="27"/>
          <w:szCs w:val="27"/>
        </w:rPr>
        <w:t>ублей за счет средств фонда на поддержку территорий на предоставление субсидий на иные цели муниципальному автономному учреждению «</w:t>
      </w:r>
      <w:proofErr w:type="spellStart"/>
      <w:r w:rsidRPr="00A94B8B">
        <w:rPr>
          <w:rFonts w:ascii="Times New Roman" w:hAnsi="Times New Roman"/>
          <w:bCs/>
          <w:sz w:val="27"/>
          <w:szCs w:val="27"/>
        </w:rPr>
        <w:t>Княгининский</w:t>
      </w:r>
      <w:proofErr w:type="spellEnd"/>
      <w:r w:rsidRPr="00A94B8B">
        <w:rPr>
          <w:rFonts w:ascii="Times New Roman" w:hAnsi="Times New Roman"/>
          <w:bCs/>
          <w:sz w:val="27"/>
          <w:szCs w:val="27"/>
        </w:rPr>
        <w:t xml:space="preserve"> районный информационный центр» на приобретение видеоаппаратуры. </w:t>
      </w:r>
    </w:p>
    <w:p w:rsidR="005617B2" w:rsidRPr="00A94B8B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A94B8B">
        <w:rPr>
          <w:rFonts w:ascii="Times New Roman" w:hAnsi="Times New Roman"/>
          <w:color w:val="1A1A1A"/>
          <w:sz w:val="27"/>
          <w:szCs w:val="27"/>
        </w:rPr>
        <w:t>702 306,2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A94B8B" w:rsidRPr="00CB0943">
        <w:rPr>
          <w:rFonts w:ascii="Times New Roman" w:hAnsi="Times New Roman"/>
          <w:color w:val="1A1A1A"/>
          <w:sz w:val="27"/>
          <w:szCs w:val="27"/>
        </w:rPr>
        <w:t>704 856,8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</w:t>
      </w:r>
      <w:proofErr w:type="gramStart"/>
      <w:r w:rsidRPr="00CB0943">
        <w:rPr>
          <w:rFonts w:ascii="Times New Roman" w:hAnsi="Times New Roman"/>
          <w:sz w:val="27"/>
          <w:szCs w:val="27"/>
        </w:rPr>
        <w:t>представлен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886AC1" w:rsidRDefault="00886AC1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494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45EAF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43A58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A94B8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66 957,5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+7 730,3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+13,1</w:t>
            </w:r>
          </w:p>
        </w:tc>
      </w:tr>
      <w:tr w:rsidR="00645EAF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43A58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EAF" w:rsidRPr="00834966" w:rsidRDefault="00645EAF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694 575,9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A94B8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702 306,2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+7 730,3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A94B8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+1,1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A94B8B" w:rsidRPr="00A94B8B" w:rsidRDefault="00A94B8B" w:rsidP="00A94B8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t>Бюджетные ассигнования увеличены по главному распорядителю бюджетных средств «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Управление сельского хозяйства и природопользования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округа» на сумму 7 730,3 тыс</w:t>
      </w:r>
      <w:proofErr w:type="gramStart"/>
      <w:r w:rsidRPr="00A94B8B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ублей </w:t>
      </w:r>
      <w:r w:rsidRPr="00A94B8B">
        <w:rPr>
          <w:rFonts w:ascii="Times New Roman" w:hAnsi="Times New Roman"/>
          <w:bCs/>
          <w:sz w:val="27"/>
          <w:szCs w:val="27"/>
        </w:rPr>
        <w:t xml:space="preserve">за счет субвенций на поддержку проведения </w:t>
      </w:r>
      <w:proofErr w:type="spellStart"/>
      <w:r w:rsidRPr="00A94B8B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A94B8B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</w:t>
      </w:r>
    </w:p>
    <w:p w:rsidR="00A94B8B" w:rsidRPr="00A94B8B" w:rsidRDefault="00A94B8B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A94B8B">
        <w:rPr>
          <w:rFonts w:ascii="Times New Roman" w:hAnsi="Times New Roman"/>
          <w:color w:val="1A1A1A"/>
          <w:sz w:val="27"/>
          <w:szCs w:val="27"/>
        </w:rPr>
        <w:t>664 578,3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678 178,9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Pr="00CB0943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юджетные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</w:t>
      </w:r>
      <w:proofErr w:type="gramStart"/>
      <w:r w:rsidRPr="00CB0943">
        <w:rPr>
          <w:rFonts w:ascii="Times New Roman" w:hAnsi="Times New Roman"/>
          <w:sz w:val="27"/>
          <w:szCs w:val="27"/>
        </w:rPr>
        <w:t>представлен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242FCC" w:rsidRPr="00656E9C" w:rsidRDefault="0099377F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494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8097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43A58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60 490,5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A94B8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68 420,6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+7 930,1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+13,1</w:t>
            </w:r>
          </w:p>
        </w:tc>
      </w:tr>
      <w:tr w:rsidR="00B8097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43A58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970" w:rsidRPr="00834966" w:rsidRDefault="00B80970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A94B8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664 578,3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+7 930,1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A94B8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+1,2</w:t>
            </w:r>
          </w:p>
        </w:tc>
      </w:tr>
    </w:tbl>
    <w:p w:rsidR="00A94B8B" w:rsidRPr="00A94B8B" w:rsidRDefault="00A94B8B" w:rsidP="00A94B8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A94B8B">
        <w:rPr>
          <w:rFonts w:ascii="Times New Roman" w:hAnsi="Times New Roman"/>
          <w:bCs/>
          <w:sz w:val="27"/>
          <w:szCs w:val="27"/>
        </w:rPr>
        <w:lastRenderedPageBreak/>
        <w:t>Бюджетные ассигнования увеличены по главному распорядителю бюджетных средств «</w:t>
      </w:r>
      <w:r w:rsidRPr="00A94B8B">
        <w:rPr>
          <w:rFonts w:ascii="Times New Roman" w:hAnsi="Times New Roman"/>
          <w:sz w:val="27"/>
          <w:szCs w:val="27"/>
          <w:lang w:eastAsia="ru-RU"/>
        </w:rPr>
        <w:t xml:space="preserve">Управление сельского хозяйства и природопользования </w:t>
      </w:r>
      <w:proofErr w:type="spellStart"/>
      <w:r w:rsidRPr="00A94B8B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округа» на сумму 7 930,1 тыс</w:t>
      </w:r>
      <w:proofErr w:type="gramStart"/>
      <w:r w:rsidRPr="00A94B8B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A94B8B">
        <w:rPr>
          <w:rFonts w:ascii="Times New Roman" w:hAnsi="Times New Roman"/>
          <w:sz w:val="27"/>
          <w:szCs w:val="27"/>
          <w:lang w:eastAsia="ru-RU"/>
        </w:rPr>
        <w:t xml:space="preserve">ублей </w:t>
      </w:r>
      <w:r w:rsidRPr="00A94B8B">
        <w:rPr>
          <w:rFonts w:ascii="Times New Roman" w:hAnsi="Times New Roman"/>
          <w:bCs/>
          <w:sz w:val="27"/>
          <w:szCs w:val="27"/>
        </w:rPr>
        <w:t xml:space="preserve">за счет субвенций на поддержку проведения </w:t>
      </w:r>
      <w:proofErr w:type="spellStart"/>
      <w:r w:rsidRPr="00A94B8B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A94B8B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A94B8B" w:rsidRDefault="00A94B8B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24E4" w:rsidRPr="00CB0943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FD66A9" w:rsidRPr="00CB0943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CB0943">
        <w:rPr>
          <w:rFonts w:ascii="Times New Roman" w:hAnsi="Times New Roman"/>
          <w:b/>
          <w:bCs/>
          <w:sz w:val="27"/>
          <w:szCs w:val="27"/>
        </w:rPr>
        <w:t>4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D1574E" w:rsidRPr="00D1574E" w:rsidRDefault="00D1574E" w:rsidP="00D1574E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D1574E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увеличились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 xml:space="preserve">16 784,6 </w:t>
      </w:r>
      <w:r w:rsidRPr="00D1574E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уточнения остатков нецелевых средств, сложившихся на счете по состоянию на 01.01.2024 года:</w:t>
      </w:r>
      <w:r w:rsidRPr="00D1574E">
        <w:rPr>
          <w:rFonts w:ascii="Times New Roman" w:hAnsi="Times New Roman"/>
          <w:bCs/>
          <w:sz w:val="27"/>
          <w:szCs w:val="27"/>
        </w:rPr>
        <w:t xml:space="preserve"> 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на реализацию мероприятий по исполнению требований антитеррористической защищенности объектов образования в сумме 1 671,3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на предоставление субсидий на иные цели муниципальным бюджетным дошкольным образовательным учреждениям на финансирование мероприятий по подготовке проектно-сметной документации в сумме 600,0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субсидий из областного бюджета на реализацию мероприятий по исполнению требований антитеррористической защищенности объектов образования в сумме 1 671,3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иных межбюджетных трансфертов из областного бюджета на финансовое обеспечение деятельности центров образования цифрового и гуманитарного профилей «Точка роста» в сумме 3 112,0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 в сумме 9 427,2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 xml:space="preserve">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в сумме 302,8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ублей. Экономия по монтажу систем АПС и СОУЭ в здании МБУ ДО «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Княгининский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ДДТ» направлена на мероприятия по </w:t>
      </w:r>
      <w:r w:rsidRPr="00D1574E">
        <w:rPr>
          <w:rFonts w:ascii="Times New Roman" w:eastAsia="Arial" w:hAnsi="Times New Roman"/>
          <w:sz w:val="27"/>
          <w:szCs w:val="27"/>
        </w:rPr>
        <w:t>разработке проектно-сметной документации учреждений образования.</w:t>
      </w:r>
    </w:p>
    <w:p w:rsidR="00D1574E" w:rsidRPr="00D1574E" w:rsidRDefault="00D1574E" w:rsidP="00D1574E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</w:t>
      </w:r>
      <w:r w:rsidRPr="00D1574E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>197,1</w:t>
      </w:r>
      <w:r w:rsidRPr="00D1574E">
        <w:rPr>
          <w:rFonts w:ascii="Times New Roman" w:hAnsi="Times New Roman"/>
          <w:bCs/>
          <w:sz w:val="27"/>
          <w:szCs w:val="27"/>
        </w:rPr>
        <w:t xml:space="preserve"> </w:t>
      </w:r>
      <w:r w:rsidRPr="00D1574E">
        <w:rPr>
          <w:rFonts w:ascii="Times New Roman" w:hAnsi="Times New Roman"/>
          <w:bCs/>
          <w:sz w:val="27"/>
          <w:szCs w:val="27"/>
        </w:rPr>
        <w:lastRenderedPageBreak/>
        <w:t>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 xml:space="preserve">ублей за счет средств фонда на поддержку территорий на приобретение мебели и оборудования для автостанции г.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>.</w:t>
      </w:r>
    </w:p>
    <w:p w:rsidR="00D1574E" w:rsidRPr="00D1574E" w:rsidRDefault="00D1574E" w:rsidP="00D1574E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«Информационное общество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D1574E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>9,2</w:t>
      </w:r>
      <w:r w:rsidRPr="00D1574E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Увеличены бюджетные ассигнования за счет средств фонда на поддержку территорий на предоставление субсидий на иные цели муниципальному автономному учреждению «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Княгининский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районный информационный центр» на приобретение видеоаппаратуры на сумму 101,4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ублей.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92,2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D1574E" w:rsidRPr="00D1574E" w:rsidRDefault="00D1574E" w:rsidP="00D1574E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физической культуры и спорта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D1574E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>633,4</w:t>
      </w:r>
      <w:r w:rsidRPr="00D1574E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за счет </w:t>
      </w:r>
      <w:r w:rsidRPr="00D1574E">
        <w:rPr>
          <w:rFonts w:ascii="Times New Roman" w:hAnsi="Times New Roman"/>
          <w:bCs/>
          <w:sz w:val="27"/>
          <w:szCs w:val="27"/>
        </w:rPr>
        <w:t>средств фонда на поддержку территорий на предоставление субсидий на иные цели муниципальному автономному учреждению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 «Физкультурно-оздоровительный комплекс «Молодежный» на приобретение хоккейных клюшек для мужской команды «</w:t>
      </w:r>
      <w:proofErr w:type="spellStart"/>
      <w:r w:rsidRPr="00D1574E">
        <w:rPr>
          <w:rFonts w:ascii="Times New Roman" w:hAnsi="Times New Roman"/>
          <w:sz w:val="27"/>
          <w:szCs w:val="27"/>
          <w:lang w:eastAsia="ru-RU"/>
        </w:rPr>
        <w:t>Княгинино</w:t>
      </w:r>
      <w:proofErr w:type="spellEnd"/>
      <w:r w:rsidRPr="00D1574E">
        <w:rPr>
          <w:rFonts w:ascii="Times New Roman" w:hAnsi="Times New Roman"/>
          <w:sz w:val="27"/>
          <w:szCs w:val="27"/>
          <w:lang w:eastAsia="ru-RU"/>
        </w:rPr>
        <w:t>» в сумме 320,0 тыс.рублей и на организацию проведения международной спартакиады ВФСК ГТО «ГТО - путь к успеху» в сумме 313,4 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>ублей.</w:t>
      </w:r>
    </w:p>
    <w:p w:rsidR="00D1574E" w:rsidRPr="00D1574E" w:rsidRDefault="00D1574E" w:rsidP="00D1574E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</w:t>
      </w:r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b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D1574E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>15 024,8</w:t>
      </w:r>
      <w:r w:rsidRPr="00D1574E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 xml:space="preserve">субвенций на поддержку проведения 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почв: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за счет средств областного бюджета в сумме 12 949,5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за счет средств федерального бюджета в сумме 1 812,6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субвенций на возмещение части затрат на поддержку собственного производства молока: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за счет средств областного бюджета в сумме 63,0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ублей;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за счет средств федерального бюджета в сумме 199,7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ублей.</w:t>
      </w:r>
    </w:p>
    <w:p w:rsidR="00D1574E" w:rsidRPr="00D1574E" w:rsidRDefault="00D1574E" w:rsidP="00D1574E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«Управление муниципальной собственностью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</w:t>
      </w:r>
      <w:r w:rsidRPr="00D1574E">
        <w:rPr>
          <w:rFonts w:ascii="Times New Roman" w:hAnsi="Times New Roman"/>
          <w:bCs/>
          <w:sz w:val="27"/>
          <w:szCs w:val="27"/>
        </w:rPr>
        <w:t xml:space="preserve">» на 2023-2027 годы ассигнования увеличены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>92,2</w:t>
      </w:r>
      <w:r w:rsidRPr="00D1574E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D1574E" w:rsidRPr="00D1574E" w:rsidRDefault="00D1574E" w:rsidP="00D1574E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/>
          <w:bCs/>
          <w:sz w:val="27"/>
          <w:szCs w:val="27"/>
        </w:rPr>
        <w:lastRenderedPageBreak/>
        <w:t xml:space="preserve">По муниципальной программе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D1574E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 </w:t>
      </w:r>
      <w:r w:rsidRPr="00D1574E">
        <w:rPr>
          <w:rFonts w:ascii="Times New Roman" w:hAnsi="Times New Roman"/>
          <w:bCs/>
          <w:sz w:val="27"/>
          <w:szCs w:val="27"/>
        </w:rPr>
        <w:t xml:space="preserve">на 2023-2027 годы ассигнования увеличены на сумму </w:t>
      </w:r>
      <w:r w:rsidRPr="00D1574E">
        <w:rPr>
          <w:rFonts w:ascii="Times New Roman" w:hAnsi="Times New Roman"/>
          <w:b/>
          <w:bCs/>
          <w:sz w:val="27"/>
          <w:szCs w:val="27"/>
        </w:rPr>
        <w:t>1 825,5</w:t>
      </w:r>
      <w:r w:rsidRPr="00D1574E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2 128,3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>ублей за счет субсидий из областного бюджета на капитальный ремонт и ремонт автомобильных дорог общего пользования местного значения.</w:t>
      </w:r>
    </w:p>
    <w:p w:rsidR="00D1574E" w:rsidRP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302,8 тыс</w:t>
      </w:r>
      <w:proofErr w:type="gramStart"/>
      <w:r w:rsidRPr="00D1574E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«Управление образования и молодежной политики  администрации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D1574E" w:rsidRPr="00D1574E" w:rsidRDefault="00890B92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proofErr w:type="spellStart"/>
      <w:r w:rsidRPr="00D1574E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по отношению к утвер</w:t>
      </w:r>
      <w:r w:rsidR="00D1574E" w:rsidRPr="00D1574E">
        <w:rPr>
          <w:rFonts w:ascii="Times New Roman" w:hAnsi="Times New Roman"/>
          <w:sz w:val="27"/>
          <w:szCs w:val="27"/>
        </w:rPr>
        <w:t>жденному бюджету в редакции от 1</w:t>
      </w:r>
      <w:r w:rsidRPr="00D1574E">
        <w:rPr>
          <w:rFonts w:ascii="Times New Roman" w:hAnsi="Times New Roman"/>
          <w:sz w:val="27"/>
          <w:szCs w:val="27"/>
        </w:rPr>
        <w:t>9.0</w:t>
      </w:r>
      <w:r w:rsidR="00D1574E" w:rsidRPr="00D1574E">
        <w:rPr>
          <w:rFonts w:ascii="Times New Roman" w:hAnsi="Times New Roman"/>
          <w:sz w:val="27"/>
          <w:szCs w:val="27"/>
        </w:rPr>
        <w:t>3.2024 года №9</w:t>
      </w:r>
      <w:r w:rsidRPr="00D1574E">
        <w:rPr>
          <w:rFonts w:ascii="Times New Roman" w:hAnsi="Times New Roman"/>
          <w:sz w:val="27"/>
          <w:szCs w:val="27"/>
        </w:rPr>
        <w:t xml:space="preserve"> на 2024 год 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увеличились на сумму </w:t>
      </w:r>
      <w:r w:rsidR="00D1574E" w:rsidRPr="00D1574E">
        <w:rPr>
          <w:rFonts w:ascii="Times New Roman" w:hAnsi="Times New Roman"/>
          <w:sz w:val="27"/>
          <w:szCs w:val="27"/>
          <w:lang w:eastAsia="ru-RU"/>
        </w:rPr>
        <w:t>2 750,0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 xml:space="preserve">ублей и составили </w:t>
      </w:r>
      <w:r w:rsidR="00D1574E" w:rsidRPr="00D1574E">
        <w:rPr>
          <w:rFonts w:ascii="Times New Roman" w:hAnsi="Times New Roman"/>
          <w:sz w:val="27"/>
          <w:szCs w:val="27"/>
          <w:lang w:eastAsia="ru-RU"/>
        </w:rPr>
        <w:t>21 192,1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рублей. С</w:t>
      </w:r>
      <w:r w:rsidRPr="00D1574E">
        <w:rPr>
          <w:rFonts w:ascii="Times New Roman" w:hAnsi="Times New Roman"/>
          <w:sz w:val="27"/>
          <w:szCs w:val="27"/>
        </w:rPr>
        <w:t xml:space="preserve">огласно Пояснительной записке Финансового управления администрации </w:t>
      </w:r>
      <w:proofErr w:type="spellStart"/>
      <w:r w:rsidRPr="00D1574E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увеличение произошло</w:t>
      </w:r>
      <w:r w:rsidR="00D1574E" w:rsidRPr="00D1574E">
        <w:rPr>
          <w:rFonts w:ascii="Times New Roman" w:hAnsi="Times New Roman"/>
          <w:sz w:val="27"/>
          <w:szCs w:val="27"/>
          <w:lang w:eastAsia="ru-RU"/>
        </w:rPr>
        <w:t xml:space="preserve"> за счет иных межбюджетных трансфертов из областного бюджета на реализацию социально значимых мероприятий в рамках решения вопросов местного значения.</w:t>
      </w:r>
    </w:p>
    <w:p w:rsid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D1574E" w:rsidRP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</w:rPr>
      </w:pPr>
      <w:r w:rsidRPr="00D1574E">
        <w:rPr>
          <w:rFonts w:ascii="Times New Roman" w:hAnsi="Times New Roman"/>
          <w:b/>
          <w:sz w:val="27"/>
          <w:szCs w:val="27"/>
        </w:rPr>
        <w:t>2025 год.</w:t>
      </w:r>
    </w:p>
    <w:p w:rsid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D1574E" w:rsidRPr="00D1574E" w:rsidRDefault="00D1574E" w:rsidP="00D1574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sz w:val="27"/>
          <w:szCs w:val="27"/>
        </w:rPr>
        <w:t>Ассигнования на 2025 год увеличены на сумму 7 730,3</w:t>
      </w:r>
      <w:r w:rsidRPr="00D1574E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тыс</w:t>
      </w:r>
      <w:proofErr w:type="gramStart"/>
      <w:r w:rsidRPr="00D1574E">
        <w:rPr>
          <w:rFonts w:ascii="Times New Roman" w:hAnsi="Times New Roman"/>
          <w:sz w:val="27"/>
          <w:szCs w:val="27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</w:rPr>
        <w:t xml:space="preserve">ублей за счет поступлений межбюджетных трансфертов из областного и федерального бюджетов в рамках муниципальной программы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2023-2027 годы.</w:t>
      </w:r>
    </w:p>
    <w:p w:rsidR="00D1574E" w:rsidRDefault="00D1574E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D1574E">
        <w:rPr>
          <w:rFonts w:ascii="Times New Roman" w:hAnsi="Times New Roman"/>
          <w:bCs/>
          <w:sz w:val="27"/>
          <w:szCs w:val="27"/>
        </w:rPr>
        <w:t xml:space="preserve">Бюджетные ассигнования увеличены за счет субвенций на поддержку проведения </w:t>
      </w:r>
      <w:proofErr w:type="spellStart"/>
      <w:r w:rsidRPr="00D1574E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D1574E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413A5A">
        <w:rPr>
          <w:rFonts w:ascii="Times New Roman" w:hAnsi="Times New Roman"/>
          <w:bCs/>
          <w:sz w:val="27"/>
          <w:szCs w:val="27"/>
        </w:rPr>
        <w:t>.</w:t>
      </w:r>
    </w:p>
    <w:p w:rsidR="00413A5A" w:rsidRDefault="00413A5A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413A5A" w:rsidRPr="00413A5A" w:rsidRDefault="00413A5A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413A5A">
        <w:rPr>
          <w:rFonts w:ascii="Times New Roman" w:hAnsi="Times New Roman"/>
          <w:b/>
          <w:bCs/>
          <w:sz w:val="27"/>
          <w:szCs w:val="27"/>
        </w:rPr>
        <w:t>2026 год.</w:t>
      </w:r>
    </w:p>
    <w:p w:rsidR="00413A5A" w:rsidRDefault="00413A5A" w:rsidP="00D1574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413A5A" w:rsidRPr="00413A5A" w:rsidRDefault="00413A5A" w:rsidP="00413A5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413A5A">
        <w:rPr>
          <w:rFonts w:ascii="Times New Roman" w:hAnsi="Times New Roman"/>
          <w:sz w:val="27"/>
          <w:szCs w:val="27"/>
        </w:rPr>
        <w:t>Ассигнования на 2026 год увеличены на сумму 7 930,1</w:t>
      </w:r>
      <w:r w:rsidRPr="00413A5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413A5A">
        <w:rPr>
          <w:rFonts w:ascii="Times New Roman" w:hAnsi="Times New Roman"/>
          <w:sz w:val="27"/>
          <w:szCs w:val="27"/>
        </w:rPr>
        <w:t>тыс</w:t>
      </w:r>
      <w:proofErr w:type="gramStart"/>
      <w:r w:rsidRPr="00413A5A">
        <w:rPr>
          <w:rFonts w:ascii="Times New Roman" w:hAnsi="Times New Roman"/>
          <w:sz w:val="27"/>
          <w:szCs w:val="27"/>
        </w:rPr>
        <w:t>.р</w:t>
      </w:r>
      <w:proofErr w:type="gramEnd"/>
      <w:r w:rsidRPr="00413A5A">
        <w:rPr>
          <w:rFonts w:ascii="Times New Roman" w:hAnsi="Times New Roman"/>
          <w:sz w:val="27"/>
          <w:szCs w:val="27"/>
        </w:rPr>
        <w:t xml:space="preserve">ублей за счет поступлений межбюджетных трансфертов из областного и федерального бюджетов в рамках муниципальной программы </w:t>
      </w:r>
      <w:proofErr w:type="spellStart"/>
      <w:r w:rsidRPr="00413A5A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13A5A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</w:t>
      </w:r>
      <w:r w:rsidRPr="00413A5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413A5A">
        <w:rPr>
          <w:rFonts w:ascii="Times New Roman" w:hAnsi="Times New Roman"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413A5A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413A5A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2023-2027 годы.</w:t>
      </w:r>
    </w:p>
    <w:p w:rsidR="00413A5A" w:rsidRPr="00413A5A" w:rsidRDefault="00413A5A" w:rsidP="00413A5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413A5A">
        <w:rPr>
          <w:rFonts w:ascii="Times New Roman" w:hAnsi="Times New Roman"/>
          <w:bCs/>
          <w:sz w:val="27"/>
          <w:szCs w:val="27"/>
        </w:rPr>
        <w:t xml:space="preserve">Бюджетные ассигнования увеличены за счет субвенций на поддержку проведения </w:t>
      </w:r>
      <w:proofErr w:type="spellStart"/>
      <w:r w:rsidRPr="00413A5A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413A5A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D1574E" w:rsidRPr="00D1574E" w:rsidRDefault="00D1574E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25B24" w:rsidRPr="00CB0943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lastRenderedPageBreak/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413A5A">
        <w:rPr>
          <w:rFonts w:ascii="Times New Roman" w:hAnsi="Times New Roman"/>
          <w:sz w:val="27"/>
          <w:szCs w:val="27"/>
        </w:rPr>
        <w:t>1</w:t>
      </w:r>
      <w:r w:rsidR="00543549" w:rsidRPr="00CB0943">
        <w:rPr>
          <w:rFonts w:ascii="Times New Roman" w:hAnsi="Times New Roman"/>
          <w:sz w:val="27"/>
          <w:szCs w:val="27"/>
        </w:rPr>
        <w:t>9</w:t>
      </w:r>
      <w:r w:rsidR="00992099" w:rsidRPr="00CB0943">
        <w:rPr>
          <w:rFonts w:ascii="Times New Roman" w:hAnsi="Times New Roman"/>
          <w:sz w:val="27"/>
          <w:szCs w:val="27"/>
        </w:rPr>
        <w:t>.0</w:t>
      </w:r>
      <w:r w:rsidR="00413A5A">
        <w:rPr>
          <w:rFonts w:ascii="Times New Roman" w:hAnsi="Times New Roman"/>
          <w:sz w:val="27"/>
          <w:szCs w:val="27"/>
        </w:rPr>
        <w:t>3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413A5A">
        <w:rPr>
          <w:rFonts w:ascii="Times New Roman" w:hAnsi="Times New Roman"/>
          <w:sz w:val="27"/>
          <w:szCs w:val="27"/>
        </w:rPr>
        <w:t>9</w:t>
      </w:r>
      <w:r w:rsidR="00543549" w:rsidRPr="00CB0943">
        <w:rPr>
          <w:rFonts w:ascii="Times New Roman" w:hAnsi="Times New Roman"/>
          <w:sz w:val="27"/>
          <w:szCs w:val="27"/>
        </w:rPr>
        <w:t xml:space="preserve">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- Приложение № 2 «</w:t>
      </w:r>
      <w:r w:rsidRPr="00CB0943">
        <w:rPr>
          <w:rFonts w:ascii="Times New Roman" w:hAnsi="Times New Roman"/>
          <w:bCs/>
          <w:sz w:val="27"/>
          <w:szCs w:val="27"/>
        </w:rPr>
        <w:t xml:space="preserve">Источники финансирования дефицита бюджета </w:t>
      </w:r>
      <w:proofErr w:type="spellStart"/>
      <w:r w:rsidRPr="00CB0943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EA5A1E">
        <w:tc>
          <w:tcPr>
            <w:tcW w:w="4784" w:type="dxa"/>
          </w:tcPr>
          <w:p w:rsidR="009A5763" w:rsidRDefault="009A5763" w:rsidP="00413A5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413A5A">
              <w:t>ского</w:t>
            </w:r>
            <w:proofErr w:type="spellEnd"/>
            <w:r w:rsidR="00413A5A">
              <w:t xml:space="preserve"> муниципального округа от 1</w:t>
            </w:r>
            <w:r w:rsidR="00543549">
              <w:t>9</w:t>
            </w:r>
            <w:r>
              <w:t>.</w:t>
            </w:r>
            <w:r w:rsidR="00142F5C">
              <w:t>0</w:t>
            </w:r>
            <w:r w:rsidR="00413A5A">
              <w:t>3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413A5A">
              <w:t>9</w:t>
            </w:r>
          </w:p>
        </w:tc>
        <w:tc>
          <w:tcPr>
            <w:tcW w:w="4786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A5A1E">
        <w:tc>
          <w:tcPr>
            <w:tcW w:w="4784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2024 год в сумме 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465 183,0</w:t>
            </w:r>
            <w:r w:rsidR="00413A5A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317 066,1</w:t>
            </w:r>
            <w:r w:rsidR="00413A5A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2025 год в сумме </w:t>
            </w:r>
            <w:r w:rsidR="00142F5C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412 578,4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293 622,3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D14F8">
              <w:rPr>
                <w:bCs/>
                <w:sz w:val="24"/>
                <w:szCs w:val="24"/>
              </w:rPr>
              <w:lastRenderedPageBreak/>
              <w:t xml:space="preserve">3) на 2026 год </w:t>
            </w:r>
            <w:r w:rsidRPr="00BD14F8">
              <w:rPr>
                <w:rFonts w:eastAsia="MS Mincho"/>
                <w:sz w:val="24"/>
                <w:szCs w:val="24"/>
              </w:rPr>
              <w:t xml:space="preserve">в сумме </w:t>
            </w:r>
            <w:r w:rsidR="00142F5C" w:rsidRPr="00413A5A">
              <w:rPr>
                <w:rFonts w:eastAsia="MS Mincho"/>
                <w:b/>
                <w:sz w:val="24"/>
                <w:szCs w:val="24"/>
              </w:rPr>
              <w:t>367 463,4</w:t>
            </w:r>
            <w:r w:rsidR="00142F5C" w:rsidRPr="0005075E">
              <w:rPr>
                <w:rFonts w:eastAsia="MS Mincho"/>
                <w:sz w:val="24"/>
                <w:szCs w:val="24"/>
              </w:rPr>
              <w:t xml:space="preserve"> </w:t>
            </w:r>
            <w:r w:rsidRPr="00BD14F8">
              <w:rPr>
                <w:rFonts w:eastAsia="MS Mincho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413A5A">
              <w:rPr>
                <w:rFonts w:eastAsia="MS Mincho"/>
                <w:b/>
                <w:sz w:val="24"/>
                <w:szCs w:val="24"/>
              </w:rPr>
              <w:t>247 565,1</w:t>
            </w:r>
            <w:r w:rsidR="00142F5C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BD14F8">
              <w:rPr>
                <w:rFonts w:eastAsia="MS Mincho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BD14F8">
              <w:rPr>
                <w:rFonts w:eastAsia="MS Mincho"/>
                <w:sz w:val="24"/>
                <w:szCs w:val="24"/>
              </w:rPr>
              <w:t>ублей..»</w:t>
            </w:r>
          </w:p>
        </w:tc>
        <w:tc>
          <w:tcPr>
            <w:tcW w:w="4786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500 228,4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</w:t>
            </w:r>
            <w:r w:rsidR="00413A5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413A5A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352 111,5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420 308,7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301 352,6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413A5A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0507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3) на 2026 год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="00413A5A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375 393,5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413A5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255 495,2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EA5A1E" w:rsidRDefault="00EA5A1E" w:rsidP="00EA5A1E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A5A1E" w:rsidRPr="00E97C60" w:rsidRDefault="00EA5A1E" w:rsidP="00EA5A1E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13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99"/>
        <w:gridCol w:w="4771"/>
      </w:tblGrid>
      <w:tr w:rsidR="00EA5A1E" w:rsidTr="00EA5A1E">
        <w:tc>
          <w:tcPr>
            <w:tcW w:w="4799" w:type="dxa"/>
            <w:tcBorders>
              <w:bottom w:val="single" w:sz="4" w:space="0" w:color="auto"/>
            </w:tcBorders>
          </w:tcPr>
          <w:p w:rsidR="00EA5A1E" w:rsidRDefault="00EA5A1E" w:rsidP="00EA5A1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1 части 1 статьи 13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19.03.2024г. № 9</w:t>
            </w:r>
          </w:p>
        </w:tc>
        <w:tc>
          <w:tcPr>
            <w:tcW w:w="4771" w:type="dxa"/>
          </w:tcPr>
          <w:p w:rsidR="00EA5A1E" w:rsidRDefault="00EA5A1E" w:rsidP="004947C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1972FA" w:rsidRPr="007D55CB" w:rsidTr="00EA5A1E">
        <w:trPr>
          <w:trHeight w:val="179"/>
        </w:trPr>
        <w:tc>
          <w:tcPr>
            <w:tcW w:w="4799" w:type="dxa"/>
          </w:tcPr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1972FA" w:rsidRPr="001972FA" w:rsidRDefault="001972FA" w:rsidP="004947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1972FA" w:rsidRPr="001972FA" w:rsidRDefault="001972FA" w:rsidP="004947C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) на возмещение части затрат на приобретение оборудования и техники. </w:t>
            </w: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4) на финансовое обеспечение затрат, связанных с разработкой и согласованием проектов зон санитарной охраны </w:t>
            </w:r>
            <w:r w:rsidRPr="00197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 </w:t>
            </w:r>
            <w:proofErr w:type="gram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1972FA" w:rsidRPr="001972FA" w:rsidRDefault="001972FA" w:rsidP="004947CA">
            <w:pPr>
              <w:pStyle w:val="ConsNormal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4771" w:type="dxa"/>
          </w:tcPr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lastRenderedPageBreak/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1972FA">
              <w:rPr>
                <w:sz w:val="24"/>
                <w:szCs w:val="24"/>
              </w:rPr>
              <w:t>Княгининского</w:t>
            </w:r>
            <w:proofErr w:type="spellEnd"/>
            <w:r w:rsidRPr="001972FA">
              <w:rPr>
                <w:sz w:val="24"/>
                <w:szCs w:val="24"/>
              </w:rPr>
              <w:t xml:space="preserve"> муниципального округа в следующих случаях: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1) на оказание государственной поддержки сельскохозяйственного производства: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б) на возмещение части затрат на поддержку элитного семеноводства;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в) на возмещение части затрат на поддержку племенного животноводства;</w:t>
            </w:r>
          </w:p>
          <w:p w:rsidR="001972FA" w:rsidRPr="001972FA" w:rsidRDefault="001972FA" w:rsidP="001972F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г) на возмещение части затрат на поддержку собственного производства молока;</w:t>
            </w:r>
          </w:p>
          <w:p w:rsidR="001972FA" w:rsidRPr="001972FA" w:rsidRDefault="001972FA" w:rsidP="001972F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) на возмещение части затрат на приобретение оборудования и техники;</w:t>
            </w:r>
          </w:p>
          <w:p w:rsidR="001972FA" w:rsidRPr="001972FA" w:rsidRDefault="001972FA" w:rsidP="001972FA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е) на поддержку проведения </w:t>
            </w:r>
            <w:proofErr w:type="spellStart"/>
            <w:r w:rsidRPr="00EA5A1E">
              <w:rPr>
                <w:rFonts w:ascii="Times New Roman" w:hAnsi="Times New Roman" w:cs="Times New Roman"/>
                <w:b/>
                <w:sz w:val="24"/>
                <w:szCs w:val="24"/>
              </w:rPr>
              <w:t>агротехнологических</w:t>
            </w:r>
            <w:proofErr w:type="spellEnd"/>
            <w:r w:rsidRPr="00EA5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почв.</w:t>
            </w: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2FA" w:rsidRPr="001972FA" w:rsidRDefault="001972FA" w:rsidP="001972F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1972FA" w:rsidRPr="001972FA" w:rsidRDefault="001972FA" w:rsidP="001972F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 на финансовое обеспечение затрат, связанных с проведением ремонта и восстановлением объектов </w:t>
            </w:r>
            <w:r w:rsidRPr="001972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централизованной системы теплоснабжения, водоснабжения и водоотведения, в том числе на приобретение необходимого оборудования;</w:t>
            </w:r>
          </w:p>
          <w:p w:rsidR="001972FA" w:rsidRPr="001972FA" w:rsidRDefault="001972FA" w:rsidP="001972FA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хозяйственно-питьевого</w:t>
            </w:r>
            <w:proofErr w:type="gram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водоснабжения-каптажей</w:t>
            </w:r>
            <w:proofErr w:type="spellEnd"/>
            <w:r w:rsidRPr="001972FA">
              <w:rPr>
                <w:rFonts w:ascii="Times New Roman" w:hAnsi="Times New Roman" w:cs="Times New Roman"/>
                <w:sz w:val="24"/>
                <w:szCs w:val="24"/>
              </w:rPr>
              <w:t xml:space="preserve"> и водозаборных скважин.</w:t>
            </w:r>
          </w:p>
          <w:p w:rsidR="001972FA" w:rsidRDefault="001972FA" w:rsidP="001972FA">
            <w:pPr>
              <w:pStyle w:val="ConsPlusTitle0"/>
              <w:widowControl/>
              <w:ind w:left="-12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FA">
              <w:rPr>
                <w:rFonts w:ascii="Times New Roman" w:hAnsi="Times New Roman" w:cs="Times New Roman"/>
                <w:sz w:val="24"/>
                <w:szCs w:val="24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1972FA" w:rsidRPr="004947CA" w:rsidRDefault="001972FA" w:rsidP="001972FA">
            <w:pPr>
              <w:pStyle w:val="ConsPlusTitle0"/>
              <w:widowControl/>
              <w:ind w:left="-121"/>
              <w:contextualSpacing/>
              <w:jc w:val="both"/>
              <w:rPr>
                <w:b/>
                <w:sz w:val="24"/>
                <w:szCs w:val="24"/>
              </w:rPr>
            </w:pPr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6) из резервного фонда администрации </w:t>
            </w:r>
            <w:proofErr w:type="spellStart"/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>Княгининского</w:t>
            </w:r>
            <w:proofErr w:type="spellEnd"/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муниципального округа Нижегородской области Муниципальному унитарному предприятию «</w:t>
            </w:r>
            <w:proofErr w:type="spellStart"/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>Княгининское</w:t>
            </w:r>
            <w:proofErr w:type="spellEnd"/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жилищно-коммунальное хозяйство» на финансовое обеспечение затрат, связанных с погашением задолженности перед </w:t>
            </w:r>
            <w:proofErr w:type="spellStart"/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>ресурсоснабжающими</w:t>
            </w:r>
            <w:proofErr w:type="spellEnd"/>
            <w:r w:rsidRPr="00494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организациями.</w:t>
            </w:r>
            <w:r w:rsidRPr="00494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972FA" w:rsidRPr="00E97C60" w:rsidRDefault="001972FA" w:rsidP="001972FA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>
        <w:rPr>
          <w:rFonts w:ascii="Times New Roman" w:hAnsi="Times New Roman"/>
          <w:b/>
          <w:sz w:val="26"/>
          <w:szCs w:val="26"/>
        </w:rPr>
        <w:t>ю 15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785"/>
        <w:gridCol w:w="4785"/>
      </w:tblGrid>
      <w:tr w:rsidR="001972FA" w:rsidTr="004947CA">
        <w:tc>
          <w:tcPr>
            <w:tcW w:w="4927" w:type="dxa"/>
            <w:tcBorders>
              <w:bottom w:val="single" w:sz="4" w:space="0" w:color="auto"/>
            </w:tcBorders>
          </w:tcPr>
          <w:p w:rsidR="001972FA" w:rsidRDefault="001972FA" w:rsidP="001972F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15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19.03.2024г. № 9</w:t>
            </w:r>
          </w:p>
        </w:tc>
        <w:tc>
          <w:tcPr>
            <w:tcW w:w="4927" w:type="dxa"/>
          </w:tcPr>
          <w:p w:rsidR="001972FA" w:rsidRDefault="001972FA" w:rsidP="004947C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1972FA" w:rsidRPr="007D55CB" w:rsidTr="004947CA">
        <w:trPr>
          <w:trHeight w:val="179"/>
        </w:trPr>
        <w:tc>
          <w:tcPr>
            <w:tcW w:w="4927" w:type="dxa"/>
            <w:tcBorders>
              <w:bottom w:val="single" w:sz="4" w:space="0" w:color="auto"/>
            </w:tcBorders>
          </w:tcPr>
          <w:p w:rsidR="001972FA" w:rsidRPr="00142F5C" w:rsidRDefault="001972FA" w:rsidP="001972F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1972FA" w:rsidRPr="00142F5C" w:rsidRDefault="001972FA" w:rsidP="001972F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1) на 2024 год в размере </w:t>
            </w:r>
            <w:r w:rsidRPr="00142F5C">
              <w:rPr>
                <w:b/>
                <w:sz w:val="26"/>
                <w:szCs w:val="26"/>
              </w:rPr>
              <w:t>19 419,7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1972FA" w:rsidRPr="00142F5C" w:rsidRDefault="001972FA" w:rsidP="001972F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2025 год в размере 11 969,1 тыс</w:t>
            </w:r>
            <w:proofErr w:type="gramStart"/>
            <w:r w:rsidRPr="00142F5C">
              <w:rPr>
                <w:sz w:val="26"/>
                <w:szCs w:val="26"/>
              </w:rPr>
              <w:t>.р</w:t>
            </w:r>
            <w:proofErr w:type="gramEnd"/>
            <w:r w:rsidRPr="00142F5C">
              <w:rPr>
                <w:sz w:val="26"/>
                <w:szCs w:val="26"/>
              </w:rPr>
              <w:t>ублей;</w:t>
            </w:r>
          </w:p>
          <w:p w:rsidR="001972FA" w:rsidRPr="007D55CB" w:rsidRDefault="001972FA" w:rsidP="001972F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3) на 2026 год в размере 12 697,3 тыс. рублей.</w:t>
            </w:r>
          </w:p>
        </w:tc>
        <w:tc>
          <w:tcPr>
            <w:tcW w:w="4927" w:type="dxa"/>
          </w:tcPr>
          <w:p w:rsidR="001972FA" w:rsidRPr="00142F5C" w:rsidRDefault="001972FA" w:rsidP="004947C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1972FA" w:rsidRPr="00142F5C" w:rsidRDefault="001972FA" w:rsidP="004947C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1) на 2024 год в размере </w:t>
            </w:r>
            <w:r>
              <w:rPr>
                <w:b/>
                <w:sz w:val="26"/>
                <w:szCs w:val="26"/>
              </w:rPr>
              <w:t>21 548,0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1972FA" w:rsidRPr="00142F5C" w:rsidRDefault="001972FA" w:rsidP="004947C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2025 год в размере 11 969,1 тыс</w:t>
            </w:r>
            <w:proofErr w:type="gramStart"/>
            <w:r w:rsidRPr="00142F5C">
              <w:rPr>
                <w:sz w:val="26"/>
                <w:szCs w:val="26"/>
              </w:rPr>
              <w:t>.р</w:t>
            </w:r>
            <w:proofErr w:type="gramEnd"/>
            <w:r w:rsidRPr="00142F5C">
              <w:rPr>
                <w:sz w:val="26"/>
                <w:szCs w:val="26"/>
              </w:rPr>
              <w:t>ублей;</w:t>
            </w:r>
          </w:p>
          <w:p w:rsidR="001972FA" w:rsidRPr="007D55CB" w:rsidRDefault="001972FA" w:rsidP="004947CA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3) на 2026 год в размере 12 697,3 тыс. рублей.</w:t>
            </w:r>
          </w:p>
        </w:tc>
      </w:tr>
    </w:tbl>
    <w:p w:rsidR="00543549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1A09F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1A09F4">
        <w:rPr>
          <w:rFonts w:ascii="Times New Roman" w:eastAsia="Times New Roman" w:hAnsi="Times New Roman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61 906,5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43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906,5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Pr="00CD3761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1A09F4">
        <w:rPr>
          <w:sz w:val="27"/>
          <w:szCs w:val="27"/>
        </w:rPr>
        <w:t>61 906,5</w:t>
      </w:r>
      <w:r w:rsidRPr="00CD3761">
        <w:rPr>
          <w:sz w:val="27"/>
          <w:szCs w:val="27"/>
        </w:rPr>
        <w:t xml:space="preserve"> тыс. руб</w:t>
      </w:r>
      <w:r w:rsidR="00E52D1C">
        <w:rPr>
          <w:sz w:val="27"/>
          <w:szCs w:val="27"/>
        </w:rPr>
        <w:t>лей</w:t>
      </w:r>
      <w:r w:rsidRPr="00CD3761">
        <w:rPr>
          <w:sz w:val="27"/>
          <w:szCs w:val="27"/>
        </w:rPr>
        <w:t xml:space="preserve"> или </w:t>
      </w:r>
      <w:r w:rsidR="001A09F4">
        <w:rPr>
          <w:sz w:val="27"/>
          <w:szCs w:val="27"/>
        </w:rPr>
        <w:t>71,3</w:t>
      </w:r>
      <w:r w:rsidR="00543549" w:rsidRPr="00CD3761">
        <w:rPr>
          <w:sz w:val="27"/>
          <w:szCs w:val="27"/>
        </w:rPr>
        <w:t>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Pr="00CD3761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D60CBD" w:rsidRPr="00CD3761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AB67CE" w:rsidRPr="00CD3761">
        <w:rPr>
          <w:sz w:val="27"/>
          <w:szCs w:val="27"/>
        </w:rPr>
        <w:t>6 931,7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67407B" w:rsidRPr="00CD3761">
        <w:rPr>
          <w:sz w:val="27"/>
          <w:szCs w:val="27"/>
          <w:lang w:eastAsia="ru-RU"/>
        </w:rPr>
        <w:t>относительно бюджета</w:t>
      </w:r>
      <w:r w:rsidR="00B44726" w:rsidRPr="00CD3761">
        <w:rPr>
          <w:sz w:val="27"/>
          <w:szCs w:val="27"/>
          <w:lang w:eastAsia="ru-RU"/>
        </w:rPr>
        <w:t xml:space="preserve"> в редакции </w:t>
      </w:r>
      <w:r w:rsidR="0067407B" w:rsidRPr="00CD3761">
        <w:rPr>
          <w:sz w:val="27"/>
          <w:szCs w:val="27"/>
          <w:lang w:eastAsia="ru-RU"/>
        </w:rPr>
        <w:t xml:space="preserve">от </w:t>
      </w:r>
      <w:r w:rsidR="001A09F4">
        <w:rPr>
          <w:sz w:val="27"/>
          <w:szCs w:val="27"/>
          <w:lang w:eastAsia="ru-RU"/>
        </w:rPr>
        <w:t>1</w:t>
      </w:r>
      <w:r w:rsidR="007C2E21" w:rsidRPr="00CD3761">
        <w:rPr>
          <w:sz w:val="27"/>
          <w:szCs w:val="27"/>
          <w:lang w:eastAsia="ru-RU"/>
        </w:rPr>
        <w:t>9</w:t>
      </w:r>
      <w:r w:rsidR="00AF35B0" w:rsidRPr="00CD3761">
        <w:rPr>
          <w:sz w:val="27"/>
          <w:szCs w:val="27"/>
          <w:lang w:eastAsia="ru-RU"/>
        </w:rPr>
        <w:t>.</w:t>
      </w:r>
      <w:r w:rsidR="00B44726" w:rsidRPr="00CD3761">
        <w:rPr>
          <w:sz w:val="27"/>
          <w:szCs w:val="27"/>
          <w:lang w:eastAsia="ru-RU"/>
        </w:rPr>
        <w:t>0</w:t>
      </w:r>
      <w:r w:rsidR="001A09F4">
        <w:rPr>
          <w:sz w:val="27"/>
          <w:szCs w:val="27"/>
          <w:lang w:eastAsia="ru-RU"/>
        </w:rPr>
        <w:t>3</w:t>
      </w:r>
      <w:r w:rsidR="0067407B" w:rsidRPr="00CD3761">
        <w:rPr>
          <w:sz w:val="27"/>
          <w:szCs w:val="27"/>
          <w:lang w:eastAsia="ru-RU"/>
        </w:rPr>
        <w:t>.20</w:t>
      </w:r>
      <w:r w:rsidR="00B82D3A" w:rsidRPr="00CD3761">
        <w:rPr>
          <w:sz w:val="27"/>
          <w:szCs w:val="27"/>
          <w:lang w:eastAsia="ru-RU"/>
        </w:rPr>
        <w:t>2</w:t>
      </w:r>
      <w:r w:rsidR="00B44726" w:rsidRPr="00CD3761">
        <w:rPr>
          <w:sz w:val="27"/>
          <w:szCs w:val="27"/>
          <w:lang w:eastAsia="ru-RU"/>
        </w:rPr>
        <w:t>4</w:t>
      </w:r>
      <w:r w:rsidR="0067407B" w:rsidRPr="00CD3761">
        <w:rPr>
          <w:sz w:val="27"/>
          <w:szCs w:val="27"/>
          <w:lang w:eastAsia="ru-RU"/>
        </w:rPr>
        <w:t xml:space="preserve"> года №</w:t>
      </w:r>
      <w:r w:rsidR="001A09F4">
        <w:rPr>
          <w:sz w:val="27"/>
          <w:szCs w:val="27"/>
          <w:lang w:eastAsia="ru-RU"/>
        </w:rPr>
        <w:t>9</w:t>
      </w:r>
      <w:r w:rsidR="0067407B" w:rsidRPr="00CD3761">
        <w:rPr>
          <w:sz w:val="27"/>
          <w:szCs w:val="27"/>
        </w:rPr>
        <w:t xml:space="preserve"> сумма </w:t>
      </w:r>
      <w:r w:rsidR="00C90CCE" w:rsidRPr="00CD3761">
        <w:rPr>
          <w:sz w:val="27"/>
          <w:szCs w:val="27"/>
        </w:rPr>
        <w:t xml:space="preserve">резервного фонда </w:t>
      </w:r>
      <w:r w:rsidR="0067407B" w:rsidRPr="00CD3761">
        <w:rPr>
          <w:sz w:val="27"/>
          <w:szCs w:val="27"/>
        </w:rPr>
        <w:t>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="00154B5A" w:rsidRPr="00CD3761">
        <w:rPr>
          <w:sz w:val="27"/>
          <w:szCs w:val="27"/>
        </w:rPr>
        <w:t xml:space="preserve"> год</w:t>
      </w:r>
      <w:r w:rsidR="00E24336" w:rsidRPr="00CD3761">
        <w:rPr>
          <w:sz w:val="27"/>
          <w:szCs w:val="27"/>
        </w:rPr>
        <w:t xml:space="preserve"> и плановый период</w:t>
      </w:r>
      <w:r w:rsidR="00154B5A"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осталась неизменной</w:t>
      </w:r>
      <w:r w:rsidR="0067407B" w:rsidRPr="00CD3761">
        <w:rPr>
          <w:sz w:val="27"/>
          <w:szCs w:val="27"/>
        </w:rPr>
        <w:t xml:space="preserve">.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1A09F4">
        <w:rPr>
          <w:rFonts w:ascii="Times New Roman" w:hAnsi="Times New Roman"/>
          <w:sz w:val="27"/>
          <w:szCs w:val="27"/>
        </w:rPr>
        <w:t>21 548,0</w:t>
      </w:r>
      <w:r w:rsidR="00D140E9" w:rsidRPr="00CD3761">
        <w:rPr>
          <w:rFonts w:ascii="Times New Roman" w:hAnsi="Times New Roman"/>
          <w:sz w:val="27"/>
          <w:szCs w:val="27"/>
        </w:rPr>
        <w:t xml:space="preserve">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 xml:space="preserve">относительно бюджета в редакции от </w:t>
      </w:r>
      <w:r w:rsidR="001A09F4">
        <w:rPr>
          <w:rFonts w:ascii="Times New Roman" w:hAnsi="Times New Roman"/>
          <w:sz w:val="27"/>
          <w:szCs w:val="27"/>
          <w:lang w:eastAsia="ru-RU"/>
        </w:rPr>
        <w:t>1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9.0</w:t>
      </w:r>
      <w:r w:rsidR="001A09F4">
        <w:rPr>
          <w:rFonts w:ascii="Times New Roman" w:hAnsi="Times New Roman"/>
          <w:sz w:val="27"/>
          <w:szCs w:val="27"/>
          <w:lang w:eastAsia="ru-RU"/>
        </w:rPr>
        <w:t>3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.2024 года №</w:t>
      </w:r>
      <w:r w:rsidR="001A09F4">
        <w:rPr>
          <w:rFonts w:ascii="Times New Roman" w:hAnsi="Times New Roman"/>
          <w:sz w:val="27"/>
          <w:szCs w:val="27"/>
          <w:lang w:eastAsia="ru-RU"/>
        </w:rPr>
        <w:t>9</w:t>
      </w:r>
      <w:r w:rsidR="007C2E21" w:rsidRPr="00CD3761">
        <w:rPr>
          <w:rFonts w:ascii="Times New Roman" w:hAnsi="Times New Roman"/>
          <w:sz w:val="27"/>
          <w:szCs w:val="27"/>
        </w:rPr>
        <w:t xml:space="preserve"> бюджетные ассигнования Дорожного фонда </w:t>
      </w:r>
      <w:proofErr w:type="spellStart"/>
      <w:r w:rsidR="007C2E21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C2E21" w:rsidRPr="00CD3761">
        <w:rPr>
          <w:rFonts w:ascii="Times New Roman" w:hAnsi="Times New Roman"/>
          <w:sz w:val="27"/>
          <w:szCs w:val="27"/>
        </w:rPr>
        <w:t xml:space="preserve"> муниципального округа на 2024 год</w:t>
      </w:r>
      <w:r w:rsidR="001A09F4">
        <w:rPr>
          <w:rFonts w:ascii="Times New Roman" w:hAnsi="Times New Roman"/>
          <w:sz w:val="27"/>
          <w:szCs w:val="27"/>
        </w:rPr>
        <w:t xml:space="preserve"> выросли на 2 128,3 тыс. рублей, на</w:t>
      </w:r>
      <w:r w:rsidR="007C2E21" w:rsidRPr="00CD3761">
        <w:rPr>
          <w:rFonts w:ascii="Times New Roman" w:hAnsi="Times New Roman"/>
          <w:sz w:val="27"/>
          <w:szCs w:val="27"/>
        </w:rPr>
        <w:t xml:space="preserve"> плановый период не изменяются</w:t>
      </w:r>
      <w:r w:rsidR="00D140E9" w:rsidRPr="00CD3761">
        <w:rPr>
          <w:rFonts w:ascii="Times New Roman" w:hAnsi="Times New Roman"/>
          <w:sz w:val="27"/>
          <w:szCs w:val="27"/>
        </w:rPr>
        <w:t xml:space="preserve">. </w:t>
      </w:r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E52D1C" w:rsidRPr="00CD3761" w:rsidRDefault="00E52D1C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B605A" w:rsidRPr="00B03C07" w:rsidRDefault="00DB605A" w:rsidP="00DB6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увеличится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DB605A">
        <w:rPr>
          <w:rFonts w:ascii="Times New Roman" w:hAnsi="Times New Roman"/>
          <w:color w:val="000000"/>
          <w:sz w:val="27"/>
          <w:szCs w:val="27"/>
        </w:rPr>
        <w:t>35 045,4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 тыс. рублей на 2025 год – 7 730,3 тыс. рублей, на 2026 год – 7 930,1 тыс. рублей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за счет </w:t>
      </w:r>
      <w:r w:rsidR="00EC4832">
        <w:rPr>
          <w:rFonts w:ascii="Times New Roman" w:hAnsi="Times New Roman"/>
          <w:sz w:val="27"/>
          <w:szCs w:val="27"/>
          <w:lang w:eastAsia="ru-RU"/>
        </w:rPr>
        <w:t>безвозмездных поступлений</w:t>
      </w:r>
      <w:r w:rsidR="003416EB" w:rsidRPr="00CD3761">
        <w:rPr>
          <w:rFonts w:ascii="Times New Roman" w:hAnsi="Times New Roman"/>
          <w:sz w:val="27"/>
          <w:szCs w:val="27"/>
        </w:rPr>
        <w:t>.</w:t>
      </w:r>
    </w:p>
    <w:p w:rsidR="00EC4832" w:rsidRPr="00CD3761" w:rsidRDefault="00EC4832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DB605A">
        <w:rPr>
          <w:rFonts w:ascii="Times New Roman" w:hAnsi="Times New Roman"/>
          <w:color w:val="000000"/>
          <w:sz w:val="27"/>
          <w:szCs w:val="27"/>
        </w:rPr>
        <w:t>37 316,8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B03C07" w:rsidRPr="00CD3761">
        <w:rPr>
          <w:rFonts w:ascii="Times New Roman" w:hAnsi="Times New Roman"/>
          <w:color w:val="000000"/>
          <w:sz w:val="27"/>
          <w:szCs w:val="27"/>
        </w:rPr>
        <w:t>за счет межбюджетных трансфертов из бюджета Нижегородской области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B605A">
        <w:rPr>
          <w:rFonts w:ascii="Times New Roman" w:hAnsi="Times New Roman"/>
          <w:color w:val="000000"/>
          <w:sz w:val="27"/>
          <w:szCs w:val="27"/>
        </w:rPr>
        <w:t>35 045,4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тыс. рублей)</w:t>
      </w:r>
      <w:r w:rsidR="00942BC1" w:rsidRPr="00CD3761">
        <w:rPr>
          <w:rFonts w:ascii="Times New Roman" w:hAnsi="Times New Roman"/>
          <w:color w:val="000000"/>
          <w:sz w:val="27"/>
          <w:szCs w:val="27"/>
        </w:rPr>
        <w:t>;</w:t>
      </w:r>
      <w:r w:rsidR="00942BC1" w:rsidRPr="00CD3761">
        <w:rPr>
          <w:rFonts w:ascii="Times New Roman" w:hAnsi="Times New Roman"/>
          <w:sz w:val="27"/>
          <w:szCs w:val="27"/>
        </w:rPr>
        <w:t xml:space="preserve"> </w:t>
      </w:r>
      <w:r w:rsidRPr="00CD3761">
        <w:rPr>
          <w:rFonts w:ascii="Times New Roman" w:hAnsi="Times New Roman"/>
          <w:color w:val="000000"/>
          <w:sz w:val="27"/>
          <w:szCs w:val="27"/>
        </w:rPr>
        <w:t>за счет остатков средств на счетах по учету средств местного бюджета, сложившихся на 01.01.2024 и предлагаемых к распределению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DB605A">
        <w:rPr>
          <w:rFonts w:ascii="Times New Roman" w:hAnsi="Times New Roman"/>
          <w:color w:val="000000"/>
          <w:sz w:val="27"/>
          <w:szCs w:val="27"/>
        </w:rPr>
        <w:t xml:space="preserve">2  271,4 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>тыс. рублей)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EC48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Расходная часть бюджета округа 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>
        <w:rPr>
          <w:rFonts w:ascii="Times New Roman" w:hAnsi="Times New Roman"/>
          <w:color w:val="000000"/>
          <w:sz w:val="27"/>
          <w:szCs w:val="27"/>
        </w:rPr>
        <w:t xml:space="preserve"> и на 2026 год 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увеличивается на сумму </w:t>
      </w:r>
      <w:r>
        <w:rPr>
          <w:rFonts w:ascii="Times New Roman" w:hAnsi="Times New Roman"/>
          <w:color w:val="000000"/>
          <w:sz w:val="27"/>
          <w:szCs w:val="27"/>
        </w:rPr>
        <w:t>7 730,3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>
        <w:rPr>
          <w:rFonts w:ascii="Times New Roman" w:hAnsi="Times New Roman"/>
          <w:color w:val="000000"/>
          <w:sz w:val="27"/>
          <w:szCs w:val="27"/>
        </w:rPr>
        <w:t xml:space="preserve"> и на сумму 7 930,1 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>
        <w:rPr>
          <w:rFonts w:ascii="Times New Roman" w:hAnsi="Times New Roman"/>
          <w:color w:val="000000"/>
          <w:sz w:val="27"/>
          <w:szCs w:val="27"/>
        </w:rPr>
        <w:t xml:space="preserve"> соответственно</w:t>
      </w:r>
      <w:r w:rsidRPr="00CD3761">
        <w:rPr>
          <w:rFonts w:ascii="Times New Roman" w:hAnsi="Times New Roman"/>
          <w:color w:val="000000"/>
          <w:sz w:val="27"/>
          <w:szCs w:val="27"/>
        </w:rPr>
        <w:t>, за счет межбюджетных трансфертов из бюджета Нижегородской</w:t>
      </w:r>
      <w:r w:rsidR="00E52D1C">
        <w:rPr>
          <w:rFonts w:ascii="Times New Roman" w:hAnsi="Times New Roman"/>
          <w:color w:val="000000"/>
          <w:sz w:val="27"/>
          <w:szCs w:val="27"/>
        </w:rPr>
        <w:t xml:space="preserve"> области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DB605A">
        <w:rPr>
          <w:rFonts w:ascii="Times New Roman" w:hAnsi="Times New Roman"/>
          <w:color w:val="000000"/>
          <w:sz w:val="27"/>
          <w:szCs w:val="27"/>
        </w:rPr>
        <w:t>6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DB605A">
        <w:rPr>
          <w:rFonts w:ascii="Times New Roman" w:hAnsi="Times New Roman"/>
          <w:color w:val="000000"/>
          <w:sz w:val="27"/>
          <w:szCs w:val="27"/>
        </w:rPr>
        <w:t>34 566,8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DB605A">
        <w:rPr>
          <w:rFonts w:ascii="Times New Roman" w:hAnsi="Times New Roman"/>
          <w:color w:val="000000"/>
          <w:sz w:val="27"/>
          <w:szCs w:val="27"/>
        </w:rPr>
        <w:t>4,4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а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 </w:t>
      </w:r>
      <w:r>
        <w:rPr>
          <w:rFonts w:ascii="Times New Roman" w:hAnsi="Times New Roman"/>
          <w:color w:val="000000"/>
          <w:sz w:val="27"/>
          <w:szCs w:val="27"/>
        </w:rPr>
        <w:t xml:space="preserve">и на 2026 год 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вносятся изменения в объемы финансирования </w:t>
      </w:r>
      <w:r>
        <w:rPr>
          <w:rFonts w:ascii="Times New Roman" w:hAnsi="Times New Roman"/>
          <w:color w:val="000000"/>
          <w:sz w:val="27"/>
          <w:szCs w:val="27"/>
        </w:rPr>
        <w:t>1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муниципальной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Pr="00CD3761">
        <w:rPr>
          <w:rFonts w:ascii="Times New Roman" w:hAnsi="Times New Roman"/>
          <w:color w:val="000000"/>
          <w:sz w:val="27"/>
          <w:szCs w:val="27"/>
        </w:rPr>
        <w:t>. Расходы на реализацию муниципальн</w:t>
      </w:r>
      <w:r>
        <w:rPr>
          <w:rFonts w:ascii="Times New Roman" w:hAnsi="Times New Roman"/>
          <w:color w:val="000000"/>
          <w:sz w:val="27"/>
          <w:szCs w:val="27"/>
        </w:rPr>
        <w:t>ой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увеличатся </w:t>
      </w:r>
      <w:r w:rsidR="00E52D1C" w:rsidRPr="00CD3761">
        <w:rPr>
          <w:rFonts w:ascii="Times New Roman" w:hAnsi="Times New Roman"/>
          <w:color w:val="000000"/>
          <w:sz w:val="27"/>
          <w:szCs w:val="27"/>
        </w:rPr>
        <w:t xml:space="preserve">на сумму </w:t>
      </w:r>
      <w:r w:rsidR="00E52D1C">
        <w:rPr>
          <w:rFonts w:ascii="Times New Roman" w:hAnsi="Times New Roman"/>
          <w:color w:val="000000"/>
          <w:sz w:val="27"/>
          <w:szCs w:val="27"/>
        </w:rPr>
        <w:t>7 730,3</w:t>
      </w:r>
      <w:r w:rsidR="00E52D1C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 и на сумму 7 930,1 тыс. рублей соответственно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увеличатся на </w:t>
      </w:r>
      <w:r w:rsidR="00DB605A">
        <w:rPr>
          <w:rFonts w:ascii="Times New Roman" w:hAnsi="Times New Roman"/>
          <w:sz w:val="27"/>
          <w:szCs w:val="27"/>
          <w:lang w:eastAsia="ru-RU"/>
        </w:rPr>
        <w:t>2 750,0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1 тыс. рублей и составят </w:t>
      </w:r>
      <w:r w:rsidR="00DB605A">
        <w:rPr>
          <w:rFonts w:ascii="Times New Roman" w:hAnsi="Times New Roman"/>
          <w:sz w:val="27"/>
          <w:szCs w:val="27"/>
          <w:lang w:eastAsia="ru-RU"/>
        </w:rPr>
        <w:t>21 192,1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1A09F4">
        <w:rPr>
          <w:rFonts w:ascii="Times New Roman" w:hAnsi="Times New Roman"/>
          <w:color w:val="000000"/>
          <w:sz w:val="27"/>
          <w:szCs w:val="27"/>
        </w:rPr>
        <w:t>61 906,5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, который не противоречит требованиям статьи 92.1 Бюджетного кодекса РФ.</w:t>
      </w:r>
    </w:p>
    <w:p w:rsidR="009D0DAB" w:rsidRPr="00CD3761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и 2026 годов основные характеристики бюджета округа </w:t>
      </w:r>
      <w:r w:rsidR="007F01AD" w:rsidRPr="00CD3761">
        <w:rPr>
          <w:rFonts w:ascii="Times New Roman" w:hAnsi="Times New Roman"/>
          <w:color w:val="000000"/>
          <w:sz w:val="27"/>
          <w:szCs w:val="27"/>
        </w:rPr>
        <w:t>не изменяются</w:t>
      </w:r>
      <w:r w:rsidRPr="00CD3761">
        <w:rPr>
          <w:rFonts w:ascii="Times New Roman" w:hAnsi="Times New Roman"/>
          <w:color w:val="000000"/>
          <w:sz w:val="27"/>
          <w:szCs w:val="27"/>
        </w:rPr>
        <w:t>. 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53042B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A4" w:rsidRDefault="004253A4" w:rsidP="00D80463">
      <w:pPr>
        <w:spacing w:after="0" w:line="240" w:lineRule="auto"/>
      </w:pPr>
      <w:r>
        <w:separator/>
      </w:r>
    </w:p>
  </w:endnote>
  <w:endnote w:type="continuationSeparator" w:id="0">
    <w:p w:rsidR="004253A4" w:rsidRDefault="004253A4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A4" w:rsidRDefault="004253A4" w:rsidP="00D80463">
      <w:pPr>
        <w:spacing w:after="0" w:line="240" w:lineRule="auto"/>
      </w:pPr>
      <w:r>
        <w:separator/>
      </w:r>
    </w:p>
  </w:footnote>
  <w:footnote w:type="continuationSeparator" w:id="0">
    <w:p w:rsidR="004253A4" w:rsidRDefault="004253A4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CA" w:rsidRPr="008F6508" w:rsidRDefault="004947CA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A77995">
      <w:rPr>
        <w:rFonts w:ascii="Times New Roman" w:hAnsi="Times New Roman"/>
        <w:noProof/>
      </w:rPr>
      <w:t>17</w:t>
    </w:r>
    <w:r w:rsidRPr="008F6508">
      <w:rPr>
        <w:rFonts w:ascii="Times New Roman" w:hAnsi="Times New Roman"/>
      </w:rPr>
      <w:fldChar w:fldCharType="end"/>
    </w:r>
  </w:p>
  <w:p w:rsidR="004947CA" w:rsidRDefault="004947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CA" w:rsidRDefault="004947CA">
    <w:pPr>
      <w:pStyle w:val="a7"/>
      <w:jc w:val="center"/>
    </w:pPr>
  </w:p>
  <w:p w:rsidR="004947CA" w:rsidRDefault="004947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7">
    <w:nsid w:val="2A984F4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4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5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2F50268"/>
    <w:multiLevelType w:val="multilevel"/>
    <w:tmpl w:val="100E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18"/>
  </w:num>
  <w:num w:numId="10">
    <w:abstractNumId w:val="24"/>
  </w:num>
  <w:num w:numId="11">
    <w:abstractNumId w:val="6"/>
  </w:num>
  <w:num w:numId="12">
    <w:abstractNumId w:val="21"/>
  </w:num>
  <w:num w:numId="13">
    <w:abstractNumId w:val="3"/>
  </w:num>
  <w:num w:numId="14">
    <w:abstractNumId w:val="11"/>
  </w:num>
  <w:num w:numId="15">
    <w:abstractNumId w:val="19"/>
  </w:num>
  <w:num w:numId="16">
    <w:abstractNumId w:val="23"/>
  </w:num>
  <w:num w:numId="17">
    <w:abstractNumId w:val="0"/>
  </w:num>
  <w:num w:numId="18">
    <w:abstractNumId w:val="5"/>
  </w:num>
  <w:num w:numId="19">
    <w:abstractNumId w:val="8"/>
  </w:num>
  <w:num w:numId="20">
    <w:abstractNumId w:val="20"/>
  </w:num>
  <w:num w:numId="21">
    <w:abstractNumId w:val="25"/>
  </w:num>
  <w:num w:numId="22">
    <w:abstractNumId w:val="16"/>
  </w:num>
  <w:num w:numId="23">
    <w:abstractNumId w:val="13"/>
  </w:num>
  <w:num w:numId="24">
    <w:abstractNumId w:val="17"/>
  </w:num>
  <w:num w:numId="25">
    <w:abstractNumId w:val="22"/>
  </w:num>
  <w:num w:numId="26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7B1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2FA"/>
    <w:rsid w:val="00197809"/>
    <w:rsid w:val="001A09F4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1EF9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239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3DBE"/>
    <w:rsid w:val="003C4643"/>
    <w:rsid w:val="003C64B4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A5A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53A4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47CA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550"/>
    <w:rsid w:val="004F0E60"/>
    <w:rsid w:val="004F1F17"/>
    <w:rsid w:val="004F2E18"/>
    <w:rsid w:val="004F54BA"/>
    <w:rsid w:val="004F60EF"/>
    <w:rsid w:val="005020A2"/>
    <w:rsid w:val="00502902"/>
    <w:rsid w:val="00503479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42B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5E7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664"/>
    <w:rsid w:val="006509C1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A71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9DB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0755F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A37"/>
    <w:rsid w:val="009D6F31"/>
    <w:rsid w:val="009D7701"/>
    <w:rsid w:val="009E0D47"/>
    <w:rsid w:val="009E203D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77995"/>
    <w:rsid w:val="00A81596"/>
    <w:rsid w:val="00A84FC4"/>
    <w:rsid w:val="00A87013"/>
    <w:rsid w:val="00A8744F"/>
    <w:rsid w:val="00A91548"/>
    <w:rsid w:val="00A94B8B"/>
    <w:rsid w:val="00A9598F"/>
    <w:rsid w:val="00A95F15"/>
    <w:rsid w:val="00A95FF8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0AF0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0D25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7DA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74E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679C9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05A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2D1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5A1E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32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AD9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7CF5-226D-4AF6-BDC2-847DE0E1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6490</Words>
  <Characters>36993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43397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4</cp:revision>
  <cp:lastPrinted>2024-04-15T10:35:00Z</cp:lastPrinted>
  <dcterms:created xsi:type="dcterms:W3CDTF">2024-04-15T10:28:00Z</dcterms:created>
  <dcterms:modified xsi:type="dcterms:W3CDTF">2024-04-15T11:40:00Z</dcterms:modified>
</cp:coreProperties>
</file>