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D4B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942BC1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13 </w:t>
      </w:r>
      <w:r w:rsidR="005D4BCB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4BCB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1E6DD0" w:rsidRPr="00CB0943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CB0943" w:rsidRDefault="00CB0943" w:rsidP="00CB0943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</w:p>
    <w:p w:rsidR="00CB0943" w:rsidRPr="00CB0943" w:rsidRDefault="00CB0943" w:rsidP="00CB0943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6"/>
          <w:szCs w:val="26"/>
        </w:rPr>
        <w:sectPr w:rsidR="00CB0943" w:rsidRPr="00CB0943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E7630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2,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экспертизу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4BCB" w:rsidRPr="00CB0943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4BCB" w:rsidRPr="00CB0943"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ближайшем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заседании Совета депутатов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CB094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5D4BCB">
              <w:rPr>
                <w:color w:val="000000"/>
                <w:sz w:val="24"/>
                <w:szCs w:val="24"/>
              </w:rPr>
              <w:t>09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="005D4BCB">
              <w:rPr>
                <w:color w:val="000000"/>
                <w:sz w:val="24"/>
                <w:szCs w:val="24"/>
              </w:rPr>
              <w:t>2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5D4BC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613C2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613C2E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613C2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от30ю01ю2024 №2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5D4BCB" w:rsidTr="00CB0943">
        <w:tc>
          <w:tcPr>
            <w:tcW w:w="2093" w:type="dxa"/>
          </w:tcPr>
          <w:p w:rsidR="005D4BCB" w:rsidRPr="007C40F6" w:rsidRDefault="005D4BCB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726 864,6</w:t>
            </w:r>
          </w:p>
        </w:tc>
        <w:tc>
          <w:tcPr>
            <w:tcW w:w="1657" w:type="dxa"/>
          </w:tcPr>
          <w:p w:rsidR="005D4BCB" w:rsidRPr="007C40F6" w:rsidRDefault="005D4BC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738 631,2</w:t>
            </w:r>
          </w:p>
        </w:tc>
        <w:tc>
          <w:tcPr>
            <w:tcW w:w="2199" w:type="dxa"/>
          </w:tcPr>
          <w:p w:rsidR="005D4BCB" w:rsidRPr="007C40F6" w:rsidRDefault="005D4BC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+11 766,6</w:t>
            </w:r>
          </w:p>
        </w:tc>
        <w:tc>
          <w:tcPr>
            <w:tcW w:w="1495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101,6 / (+1,6)</w:t>
            </w:r>
          </w:p>
        </w:tc>
      </w:tr>
      <w:tr w:rsidR="005D4BCB" w:rsidTr="00CB0943">
        <w:tc>
          <w:tcPr>
            <w:tcW w:w="2093" w:type="dxa"/>
          </w:tcPr>
          <w:p w:rsidR="005D4BCB" w:rsidRPr="007C40F6" w:rsidRDefault="005D4BCB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781 097,1</w:t>
            </w:r>
          </w:p>
        </w:tc>
        <w:tc>
          <w:tcPr>
            <w:tcW w:w="1657" w:type="dxa"/>
          </w:tcPr>
          <w:p w:rsidR="005D4BCB" w:rsidRPr="007C40F6" w:rsidRDefault="005D4BC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798 266,3</w:t>
            </w:r>
          </w:p>
        </w:tc>
        <w:tc>
          <w:tcPr>
            <w:tcW w:w="2199" w:type="dxa"/>
          </w:tcPr>
          <w:p w:rsidR="005D4BCB" w:rsidRPr="007C40F6" w:rsidRDefault="005D4BC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+17 169,2</w:t>
            </w:r>
          </w:p>
        </w:tc>
        <w:tc>
          <w:tcPr>
            <w:tcW w:w="1495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102,2  /  (+2,2)</w:t>
            </w:r>
          </w:p>
        </w:tc>
      </w:tr>
      <w:tr w:rsidR="005D4BCB" w:rsidTr="00CB0943">
        <w:tc>
          <w:tcPr>
            <w:tcW w:w="2093" w:type="dxa"/>
          </w:tcPr>
          <w:p w:rsidR="005D4BCB" w:rsidRPr="007C40F6" w:rsidRDefault="005D4BCB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-54 232,5</w:t>
            </w:r>
          </w:p>
        </w:tc>
        <w:tc>
          <w:tcPr>
            <w:tcW w:w="1657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-59 635,1</w:t>
            </w:r>
          </w:p>
        </w:tc>
        <w:tc>
          <w:tcPr>
            <w:tcW w:w="2199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-5 402,6</w:t>
            </w:r>
          </w:p>
        </w:tc>
        <w:tc>
          <w:tcPr>
            <w:tcW w:w="1495" w:type="dxa"/>
          </w:tcPr>
          <w:p w:rsidR="005D4BCB" w:rsidRPr="007C40F6" w:rsidRDefault="005D4BCB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110,0  /  (+10,0)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CE25D3" w:rsidTr="00CB0943">
        <w:tc>
          <w:tcPr>
            <w:tcW w:w="2093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657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99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CE25D3" w:rsidRPr="007C40F6" w:rsidRDefault="00CE25D3" w:rsidP="00CE25D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CE25D3" w:rsidTr="00CB0943">
        <w:tc>
          <w:tcPr>
            <w:tcW w:w="2093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657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99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DD62CF" w:rsidTr="00CB0943">
        <w:tc>
          <w:tcPr>
            <w:tcW w:w="2093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CE25D3" w:rsidTr="00CB0943">
        <w:tc>
          <w:tcPr>
            <w:tcW w:w="2093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1657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2199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CE25D3" w:rsidTr="00CB0943">
        <w:tc>
          <w:tcPr>
            <w:tcW w:w="2093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1657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2199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E76304" w:rsidTr="00CB0943">
        <w:tc>
          <w:tcPr>
            <w:tcW w:w="2093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CB0943" w:rsidRDefault="00CB09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738 631,2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465 183,0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798 266,3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59 635,1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величилась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11 766,6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09.02.2024 №8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17 169,2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увеличится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09.02.2024 №8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5 402,6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или на 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10,0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 части планового периода 2025 и 2026 годов не планируется.</w:t>
      </w:r>
    </w:p>
    <w:p w:rsidR="00F21A43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</w:t>
      </w:r>
      <w:r w:rsidR="003D5D8A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F21A43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6465D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составит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412 578,4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10 280,9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CB0943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="003D5D8A" w:rsidRPr="00CB0943">
        <w:rPr>
          <w:rFonts w:ascii="Times New Roman" w:hAnsi="Times New Roman"/>
          <w:sz w:val="27"/>
          <w:szCs w:val="27"/>
        </w:rPr>
        <w:t>бездефицитным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3D5D8A" w:rsidRDefault="003D5D8A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2026 год:</w:t>
      </w:r>
    </w:p>
    <w:p w:rsidR="00CB0943" w:rsidRDefault="00CB09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CB0943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руб., в том</w:t>
      </w:r>
    </w:p>
    <w:p w:rsidR="00F21A43" w:rsidRPr="00CB0943" w:rsidRDefault="00F21A43" w:rsidP="00CB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>числе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объем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367 463,4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21 530,7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3D5D8A" w:rsidRPr="00CB0943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бюджета </w:t>
      </w:r>
      <w:proofErr w:type="gramStart"/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3D5D8A" w:rsidRPr="00CB0943">
        <w:rPr>
          <w:rFonts w:ascii="Times New Roman" w:hAnsi="Times New Roman"/>
          <w:sz w:val="27"/>
          <w:szCs w:val="27"/>
        </w:rPr>
        <w:t>бездефицитным</w:t>
      </w:r>
      <w:r w:rsidR="003D5D8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A3A88" w:rsidSect="00CB0943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09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2.2024 №8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</w:t>
            </w:r>
            <w:r w:rsidR="005D5C75"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.</w:t>
            </w:r>
            <w:r w:rsidR="00CE0BE9">
              <w:rPr>
                <w:color w:val="1A1A1A"/>
                <w:lang w:eastAsia="ru-RU"/>
              </w:rPr>
              <w:t>0</w:t>
            </w:r>
            <w:r w:rsidR="005D5C75">
              <w:rPr>
                <w:color w:val="1A1A1A"/>
                <w:lang w:eastAsia="ru-RU"/>
              </w:rPr>
              <w:t>2</w:t>
            </w:r>
            <w:r w:rsidRPr="00C31A9D">
              <w:rPr>
                <w:color w:val="1A1A1A"/>
                <w:lang w:eastAsia="ru-RU"/>
              </w:rPr>
              <w:t>.202</w:t>
            </w:r>
            <w:r w:rsidR="00CE0BE9">
              <w:rPr>
                <w:color w:val="1A1A1A"/>
                <w:lang w:eastAsia="ru-RU"/>
              </w:rPr>
              <w:t>4 №</w:t>
            </w:r>
            <w:r w:rsidR="005D5C75">
              <w:rPr>
                <w:color w:val="1A1A1A"/>
                <w:lang w:eastAsia="ru-RU"/>
              </w:rPr>
              <w:t>8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5D5C75" w:rsidTr="00922BD4">
        <w:tc>
          <w:tcPr>
            <w:tcW w:w="5211" w:type="dxa"/>
          </w:tcPr>
          <w:p w:rsidR="005D5C75" w:rsidRPr="00210289" w:rsidRDefault="005D5C7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5D5C75" w:rsidRPr="00210289" w:rsidRDefault="005D5C7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5D5C75" w:rsidRPr="00210289" w:rsidRDefault="005D5C75" w:rsidP="00836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452 614,1</w:t>
            </w:r>
          </w:p>
        </w:tc>
        <w:tc>
          <w:tcPr>
            <w:tcW w:w="1701" w:type="dxa"/>
            <w:vAlign w:val="bottom"/>
          </w:tcPr>
          <w:p w:rsidR="005D5C75" w:rsidRPr="00210289" w:rsidRDefault="005559CC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464 380,7</w:t>
            </w:r>
          </w:p>
        </w:tc>
        <w:tc>
          <w:tcPr>
            <w:tcW w:w="1560" w:type="dxa"/>
          </w:tcPr>
          <w:p w:rsidR="005D5C75" w:rsidRPr="0021028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+11 766,6</w:t>
            </w:r>
            <w:r w:rsidR="005D5C75">
              <w:rPr>
                <w:b/>
                <w:color w:val="1A1A1A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5D5C75" w:rsidRPr="0021028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+2,6</w:t>
            </w:r>
          </w:p>
        </w:tc>
      </w:tr>
      <w:tr w:rsidR="005D5C75" w:rsidTr="00922BD4">
        <w:tc>
          <w:tcPr>
            <w:tcW w:w="5211" w:type="dxa"/>
          </w:tcPr>
          <w:p w:rsidR="005D5C75" w:rsidRPr="00C31A9D" w:rsidRDefault="005D5C75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5D5C75" w:rsidRPr="00210289" w:rsidRDefault="005D5C75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5D5C75" w:rsidRPr="00210289" w:rsidRDefault="005D5C7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5D5C75" w:rsidRPr="00210289" w:rsidRDefault="005D5C75" w:rsidP="00836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464 768,0</w:t>
            </w:r>
          </w:p>
        </w:tc>
        <w:tc>
          <w:tcPr>
            <w:tcW w:w="1701" w:type="dxa"/>
            <w:vAlign w:val="bottom"/>
          </w:tcPr>
          <w:p w:rsidR="005D5C75" w:rsidRPr="00210289" w:rsidRDefault="005559CC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465 183,0</w:t>
            </w:r>
          </w:p>
        </w:tc>
        <w:tc>
          <w:tcPr>
            <w:tcW w:w="1560" w:type="dxa"/>
          </w:tcPr>
          <w:p w:rsidR="005D5C75" w:rsidRDefault="005D5C7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5D5C75" w:rsidRPr="0021028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+415,0</w:t>
            </w:r>
          </w:p>
        </w:tc>
        <w:tc>
          <w:tcPr>
            <w:tcW w:w="1842" w:type="dxa"/>
          </w:tcPr>
          <w:p w:rsidR="005D5C75" w:rsidRDefault="005D5C7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5D5C75" w:rsidRPr="0021028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+0,1</w:t>
            </w:r>
          </w:p>
        </w:tc>
      </w:tr>
      <w:tr w:rsidR="005D5C75" w:rsidTr="007165FB">
        <w:tc>
          <w:tcPr>
            <w:tcW w:w="5211" w:type="dxa"/>
          </w:tcPr>
          <w:p w:rsidR="005D5C75" w:rsidRPr="00C31A9D" w:rsidRDefault="005D5C7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5D5C75" w:rsidRPr="006132D6" w:rsidRDefault="005D5C75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D5C75" w:rsidRPr="006132D6" w:rsidRDefault="005D5C75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5D5C75" w:rsidTr="006132D6">
        <w:tc>
          <w:tcPr>
            <w:tcW w:w="5211" w:type="dxa"/>
          </w:tcPr>
          <w:p w:rsidR="005D5C75" w:rsidRPr="00C31A9D" w:rsidRDefault="005D5C7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5D5C75" w:rsidRPr="00C31A9D" w:rsidRDefault="005D5C7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lastRenderedPageBreak/>
              <w:t>Российской Федерации (межбюджетные</w:t>
            </w:r>
            <w:proofErr w:type="gramEnd"/>
          </w:p>
          <w:p w:rsidR="005D5C75" w:rsidRPr="006132D6" w:rsidRDefault="005D5C7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lastRenderedPageBreak/>
              <w:t>2 02 20000 00 0000 150</w:t>
            </w:r>
          </w:p>
        </w:tc>
        <w:tc>
          <w:tcPr>
            <w:tcW w:w="2126" w:type="dxa"/>
          </w:tcPr>
          <w:p w:rsidR="005D5C75" w:rsidRPr="006132D6" w:rsidRDefault="005D5C75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98 881,1</w:t>
            </w:r>
          </w:p>
        </w:tc>
        <w:tc>
          <w:tcPr>
            <w:tcW w:w="1701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98 881,1</w:t>
            </w:r>
          </w:p>
        </w:tc>
        <w:tc>
          <w:tcPr>
            <w:tcW w:w="1560" w:type="dxa"/>
          </w:tcPr>
          <w:p w:rsidR="005D5C75" w:rsidRPr="006132D6" w:rsidRDefault="005559CC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D5C75" w:rsidRPr="006132D6" w:rsidRDefault="005559CC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5D5C75" w:rsidTr="007165FB">
        <w:tc>
          <w:tcPr>
            <w:tcW w:w="5211" w:type="dxa"/>
          </w:tcPr>
          <w:p w:rsidR="005D5C75" w:rsidRPr="00C31A9D" w:rsidRDefault="005D5C7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5D5C75" w:rsidRPr="006132D6" w:rsidRDefault="005D5C7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5D5C75" w:rsidRPr="006132D6" w:rsidRDefault="005D5C75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701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560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D5C75" w:rsidRPr="006132D6" w:rsidRDefault="005D5C7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5D5C75" w:rsidTr="006132D6">
        <w:tc>
          <w:tcPr>
            <w:tcW w:w="5211" w:type="dxa"/>
          </w:tcPr>
          <w:p w:rsidR="005D5C75" w:rsidRPr="00C31A9D" w:rsidRDefault="005D5C7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5D5C75" w:rsidRPr="006132D6" w:rsidRDefault="005D5C7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D5C75" w:rsidRDefault="005D5C75" w:rsidP="00836F7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5D5C75" w:rsidRDefault="005559CC" w:rsidP="00D46B68">
            <w:pPr>
              <w:spacing w:after="0" w:line="240" w:lineRule="auto"/>
              <w:jc w:val="center"/>
            </w:pPr>
            <w:r>
              <w:rPr>
                <w:bCs/>
              </w:rPr>
              <w:t>1 303,4</w:t>
            </w:r>
          </w:p>
        </w:tc>
        <w:tc>
          <w:tcPr>
            <w:tcW w:w="1560" w:type="dxa"/>
          </w:tcPr>
          <w:p w:rsidR="005D5C75" w:rsidRPr="006132D6" w:rsidRDefault="005559CC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+415,0</w:t>
            </w:r>
          </w:p>
        </w:tc>
        <w:tc>
          <w:tcPr>
            <w:tcW w:w="1842" w:type="dxa"/>
          </w:tcPr>
          <w:p w:rsidR="005D5C75" w:rsidRPr="006132D6" w:rsidRDefault="005559CC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+46,7</w:t>
            </w:r>
          </w:p>
        </w:tc>
      </w:tr>
      <w:tr w:rsidR="005D5C75" w:rsidTr="006132D6">
        <w:tc>
          <w:tcPr>
            <w:tcW w:w="5211" w:type="dxa"/>
          </w:tcPr>
          <w:p w:rsidR="005D5C75" w:rsidRPr="00CE0BE9" w:rsidRDefault="005D5C75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5D5C75" w:rsidRDefault="005D5C75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5D5C75" w:rsidRPr="00CE0BE9" w:rsidRDefault="005D5C75" w:rsidP="00836F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-12 153,9</w:t>
            </w:r>
          </w:p>
        </w:tc>
        <w:tc>
          <w:tcPr>
            <w:tcW w:w="1701" w:type="dxa"/>
          </w:tcPr>
          <w:p w:rsidR="005D5C75" w:rsidRPr="00CE0BE9" w:rsidRDefault="005D5C75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5559CC">
              <w:rPr>
                <w:b/>
                <w:bCs/>
              </w:rPr>
              <w:t>802,3</w:t>
            </w:r>
          </w:p>
        </w:tc>
        <w:tc>
          <w:tcPr>
            <w:tcW w:w="1560" w:type="dxa"/>
          </w:tcPr>
          <w:p w:rsidR="005D5C75" w:rsidRPr="00CE0BE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+11 351,6</w:t>
            </w:r>
          </w:p>
        </w:tc>
        <w:tc>
          <w:tcPr>
            <w:tcW w:w="1842" w:type="dxa"/>
          </w:tcPr>
          <w:p w:rsidR="005D5C75" w:rsidRPr="00CE0BE9" w:rsidRDefault="005559CC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+93,4</w:t>
            </w:r>
          </w:p>
        </w:tc>
      </w:tr>
    </w:tbl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11 766,6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увеличивается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5559CC"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2,6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11 766,6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CB0943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5F3ED6" w:rsidRPr="00CB0943" w:rsidRDefault="005F3ED6" w:rsidP="006A3A8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sz w:val="27"/>
          <w:szCs w:val="27"/>
          <w:lang w:eastAsia="ru-RU"/>
        </w:rPr>
        <w:t>-д</w:t>
      </w:r>
      <w:r w:rsidR="00922BD4"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CB0943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 w:rsidR="005559CC" w:rsidRPr="00CB0943">
        <w:rPr>
          <w:rFonts w:ascii="Times New Roman" w:hAnsi="Times New Roman"/>
          <w:b/>
          <w:sz w:val="27"/>
          <w:szCs w:val="27"/>
          <w:lang w:eastAsia="ru-RU"/>
        </w:rPr>
        <w:t>11 766,6</w:t>
      </w:r>
      <w:r w:rsidR="00922BD4"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за счет</w:t>
      </w:r>
      <w:r w:rsidR="00926701" w:rsidRPr="00CB0943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5559CC" w:rsidRPr="00CB0943" w:rsidRDefault="00926701" w:rsidP="0092670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>-</w:t>
      </w:r>
      <w:r w:rsidR="005559CC" w:rsidRPr="00CB0943">
        <w:rPr>
          <w:rFonts w:ascii="Times New Roman" w:hAnsi="Times New Roman"/>
          <w:sz w:val="27"/>
          <w:szCs w:val="27"/>
          <w:lang w:eastAsia="ru-RU"/>
        </w:rPr>
        <w:t>ины</w:t>
      </w:r>
      <w:r w:rsidRPr="00CB0943">
        <w:rPr>
          <w:rFonts w:ascii="Times New Roman" w:hAnsi="Times New Roman"/>
          <w:sz w:val="27"/>
          <w:szCs w:val="27"/>
          <w:lang w:eastAsia="ru-RU"/>
        </w:rPr>
        <w:t>х</w:t>
      </w:r>
      <w:r w:rsidR="005559CC" w:rsidRPr="00CB0943">
        <w:rPr>
          <w:rFonts w:ascii="Times New Roman" w:hAnsi="Times New Roman"/>
          <w:sz w:val="27"/>
          <w:szCs w:val="27"/>
          <w:lang w:eastAsia="ru-RU"/>
        </w:rPr>
        <w:t xml:space="preserve"> межбюджетн</w:t>
      </w:r>
      <w:r w:rsidRPr="00CB0943">
        <w:rPr>
          <w:rFonts w:ascii="Times New Roman" w:hAnsi="Times New Roman"/>
          <w:sz w:val="27"/>
          <w:szCs w:val="27"/>
          <w:lang w:eastAsia="ru-RU"/>
        </w:rPr>
        <w:t>ых</w:t>
      </w:r>
      <w:r w:rsidR="005559CC" w:rsidRPr="00CB0943">
        <w:rPr>
          <w:rFonts w:ascii="Times New Roman" w:hAnsi="Times New Roman"/>
          <w:sz w:val="27"/>
          <w:szCs w:val="27"/>
          <w:lang w:eastAsia="ru-RU"/>
        </w:rPr>
        <w:t xml:space="preserve"> трансферт</w:t>
      </w:r>
      <w:r w:rsidRPr="00CB0943">
        <w:rPr>
          <w:rFonts w:ascii="Times New Roman" w:hAnsi="Times New Roman"/>
          <w:sz w:val="27"/>
          <w:szCs w:val="27"/>
          <w:lang w:eastAsia="ru-RU"/>
        </w:rPr>
        <w:t>ов</w:t>
      </w:r>
      <w:r w:rsidR="005559CC" w:rsidRPr="00CB0943">
        <w:rPr>
          <w:rFonts w:ascii="Times New Roman" w:hAnsi="Times New Roman"/>
          <w:sz w:val="27"/>
          <w:szCs w:val="27"/>
          <w:lang w:eastAsia="ru-RU"/>
        </w:rPr>
        <w:t xml:space="preserve"> из фонда на поддержку территорий в сумме 415,0 тыс. рублей;</w:t>
      </w:r>
    </w:p>
    <w:p w:rsidR="005559CC" w:rsidRPr="00CB0943" w:rsidRDefault="00926701" w:rsidP="0092670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</w:rPr>
        <w:t xml:space="preserve">- </w:t>
      </w:r>
      <w:r w:rsidR="005559CC" w:rsidRPr="00CB0943">
        <w:rPr>
          <w:rFonts w:ascii="Times New Roman" w:hAnsi="Times New Roman"/>
          <w:sz w:val="27"/>
          <w:szCs w:val="27"/>
        </w:rPr>
        <w:t>возврат</w:t>
      </w:r>
      <w:r w:rsidRPr="00CB0943">
        <w:rPr>
          <w:rFonts w:ascii="Times New Roman" w:hAnsi="Times New Roman"/>
          <w:sz w:val="27"/>
          <w:szCs w:val="27"/>
        </w:rPr>
        <w:t>а</w:t>
      </w:r>
      <w:r w:rsidR="005559CC" w:rsidRPr="00CB0943">
        <w:rPr>
          <w:rFonts w:ascii="Times New Roman" w:hAnsi="Times New Roman"/>
          <w:sz w:val="27"/>
          <w:szCs w:val="27"/>
        </w:rPr>
        <w:t xml:space="preserve"> остатков </w:t>
      </w:r>
      <w:r w:rsidR="005559CC" w:rsidRPr="00CB0943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="005559CC" w:rsidRPr="00CB0943">
        <w:rPr>
          <w:rFonts w:ascii="Times New Roman" w:hAnsi="Times New Roman"/>
          <w:sz w:val="27"/>
          <w:szCs w:val="27"/>
        </w:rPr>
        <w:t xml:space="preserve"> на приобретение двух единиц специальной коммунальной техники в сумме 11 351,6 тыс. рублей (сумма неиспользованного остатка субсидии, потребность в которой подтверждена)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926701" w:rsidRPr="00CB0943" w:rsidRDefault="00926701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926701" w:rsidTr="00922BD4">
        <w:tc>
          <w:tcPr>
            <w:tcW w:w="5211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926701" w:rsidRPr="00C31A9D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</w:t>
            </w:r>
            <w:r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02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№8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926701" w:rsidRPr="00C31A9D" w:rsidRDefault="00926701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926701" w:rsidRPr="00D46B68" w:rsidRDefault="00926701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926701" w:rsidRPr="00D46B68" w:rsidRDefault="00926701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922BD4">
        <w:tc>
          <w:tcPr>
            <w:tcW w:w="5211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6A3A88" w:rsidRPr="006A3A88" w:rsidRDefault="006A3A88" w:rsidP="006A3A88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6A3A88" w:rsidRPr="006A3A88" w:rsidRDefault="006A3A88" w:rsidP="006A3A88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Субсидии бюджетам бюджетной системы</w:t>
            </w:r>
          </w:p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701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6A3A88">
            <w:pPr>
              <w:jc w:val="center"/>
            </w:pPr>
            <w:r w:rsidRPr="00521FF7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701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6A3A88">
            <w:pPr>
              <w:jc w:val="center"/>
            </w:pPr>
            <w:r w:rsidRPr="00521FF7">
              <w:rPr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6A3A88" w:rsidRDefault="006A3A88" w:rsidP="007165FB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6A3A88" w:rsidRDefault="006A3A88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926701" w:rsidTr="00006DC8">
        <w:tc>
          <w:tcPr>
            <w:tcW w:w="5211" w:type="dxa"/>
          </w:tcPr>
          <w:p w:rsidR="00926701" w:rsidRPr="00C31A9D" w:rsidRDefault="00926701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926701" w:rsidRPr="00C31A9D" w:rsidRDefault="00926701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926701" w:rsidRPr="00C31A9D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</w:t>
            </w:r>
            <w:r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02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№8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926701" w:rsidRPr="00C31A9D" w:rsidRDefault="00926701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926701" w:rsidRPr="00D46B68" w:rsidRDefault="00926701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926701" w:rsidRPr="00D46B68" w:rsidRDefault="00926701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926701" w:rsidRPr="00C31A9D" w:rsidRDefault="00926701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926701" w:rsidRPr="00C31A9D" w:rsidRDefault="00926701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926701" w:rsidRPr="00C31A9D" w:rsidRDefault="00926701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006DC8">
        <w:tc>
          <w:tcPr>
            <w:tcW w:w="5211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701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7713D4" w:rsidRDefault="006A3A88" w:rsidP="007165FB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A3A88" w:rsidRPr="007713D4" w:rsidRDefault="006A3A88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BD14F8" w:rsidRDefault="00BD14F8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0943" w:rsidRDefault="00CB0943" w:rsidP="009A57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sectPr w:rsidR="00CB0943" w:rsidSect="00CB0943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>Представленным проектом решения предусматривается рост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926701" w:rsidRPr="00CB0943">
        <w:rPr>
          <w:rFonts w:ascii="Times New Roman" w:hAnsi="Times New Roman"/>
          <w:color w:val="1A1A1A"/>
          <w:sz w:val="27"/>
          <w:szCs w:val="27"/>
        </w:rPr>
        <w:t>17 169,2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 w:rsidR="00926701" w:rsidRPr="00CB0943">
        <w:rPr>
          <w:rFonts w:ascii="Times New Roman" w:hAnsi="Times New Roman"/>
          <w:color w:val="1A1A1A"/>
          <w:sz w:val="27"/>
          <w:szCs w:val="27"/>
        </w:rPr>
        <w:t>2,2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926701" w:rsidRPr="00CB0943">
        <w:rPr>
          <w:rFonts w:ascii="Times New Roman" w:hAnsi="Times New Roman"/>
          <w:color w:val="1A1A1A"/>
          <w:sz w:val="27"/>
          <w:szCs w:val="27"/>
        </w:rPr>
        <w:t>798 266,3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926701" w:rsidRPr="00CB0943">
        <w:rPr>
          <w:rFonts w:ascii="Times New Roman" w:hAnsi="Times New Roman"/>
          <w:color w:val="1A1A1A"/>
          <w:sz w:val="27"/>
          <w:szCs w:val="27"/>
        </w:rPr>
        <w:t xml:space="preserve">781 097,1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Pr="00CB0943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Default="006A3A88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A3A88" w:rsidSect="00CB0943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92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26701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90 413,6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86AC1">
              <w:rPr>
                <w:rFonts w:ascii="Times New Roman" w:hAnsi="Times New Roman"/>
                <w:sz w:val="20"/>
                <w:szCs w:val="20"/>
              </w:rPr>
              <w:t> 236,7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886AC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886AC1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-0,2</w:t>
            </w:r>
          </w:p>
        </w:tc>
      </w:tr>
      <w:tr w:rsidR="00926701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43A58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91 333,5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="00886AC1">
              <w:rPr>
                <w:rFonts w:ascii="Times New Roman" w:hAnsi="Times New Roman"/>
                <w:sz w:val="20"/>
                <w:szCs w:val="20"/>
              </w:rPr>
              <w:t> 510,3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886AC1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886AC1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926701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80 922,4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11783C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95 375,6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+14 453,2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+17,9</w:t>
            </w:r>
          </w:p>
        </w:tc>
      </w:tr>
      <w:tr w:rsidR="00926701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43A58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320 445,0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11783C">
              <w:rPr>
                <w:rFonts w:ascii="Times New Roman" w:hAnsi="Times New Roman"/>
                <w:sz w:val="20"/>
                <w:szCs w:val="20"/>
              </w:rPr>
              <w:t>1 421,2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+976,2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926701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74 482,7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783C">
              <w:rPr>
                <w:rFonts w:ascii="Times New Roman" w:hAnsi="Times New Roman"/>
                <w:sz w:val="20"/>
                <w:szCs w:val="20"/>
              </w:rPr>
              <w:t>6 222,6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+1 739,9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+2,3</w:t>
            </w:r>
          </w:p>
        </w:tc>
      </w:tr>
      <w:tr w:rsidR="00926701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701" w:rsidRPr="00650D91" w:rsidRDefault="00926701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6701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01" w:rsidRPr="00834966" w:rsidRDefault="00926701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83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781 097,1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701" w:rsidRPr="00650D91" w:rsidRDefault="009267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783C">
              <w:rPr>
                <w:rFonts w:ascii="Times New Roman" w:hAnsi="Times New Roman"/>
                <w:sz w:val="20"/>
                <w:szCs w:val="20"/>
              </w:rPr>
              <w:t>98 266,3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11783C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+17 169,2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01" w:rsidRPr="00650D91" w:rsidRDefault="00D60AD6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+2,2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Уточнение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886AC1" w:rsidRPr="00720938" w:rsidRDefault="00886AC1" w:rsidP="00886AC1">
      <w:pPr>
        <w:pStyle w:val="a6"/>
        <w:numPr>
          <w:ilvl w:val="0"/>
          <w:numId w:val="2"/>
        </w:numPr>
        <w:suppressAutoHyphens/>
        <w:autoSpaceDE w:val="0"/>
        <w:ind w:left="0" w:firstLine="720"/>
        <w:jc w:val="both"/>
        <w:rPr>
          <w:sz w:val="27"/>
          <w:szCs w:val="27"/>
        </w:rPr>
      </w:pPr>
      <w:r w:rsidRPr="00886AC1">
        <w:rPr>
          <w:b/>
          <w:bCs/>
          <w:sz w:val="27"/>
          <w:szCs w:val="27"/>
        </w:rPr>
        <w:t>По разделу 0100 «Общегосударственные вопросы»</w:t>
      </w:r>
      <w:r w:rsidRPr="00720938">
        <w:rPr>
          <w:bCs/>
          <w:sz w:val="27"/>
          <w:szCs w:val="27"/>
        </w:rPr>
        <w:t xml:space="preserve"> ассигнования уменьшены на сумму 176,9 тыс</w:t>
      </w:r>
      <w:proofErr w:type="gramStart"/>
      <w:r w:rsidRPr="00720938">
        <w:rPr>
          <w:bCs/>
          <w:sz w:val="27"/>
          <w:szCs w:val="27"/>
        </w:rPr>
        <w:t>.р</w:t>
      </w:r>
      <w:proofErr w:type="gramEnd"/>
      <w:r w:rsidRPr="00720938">
        <w:rPr>
          <w:bCs/>
          <w:sz w:val="27"/>
          <w:szCs w:val="27"/>
        </w:rPr>
        <w:t>ублей, в том числе:</w:t>
      </w:r>
    </w:p>
    <w:p w:rsidR="00886AC1" w:rsidRPr="00720938" w:rsidRDefault="00886AC1" w:rsidP="00886AC1">
      <w:pPr>
        <w:pStyle w:val="a6"/>
        <w:numPr>
          <w:ilvl w:val="1"/>
          <w:numId w:val="20"/>
        </w:numPr>
        <w:suppressAutoHyphens/>
        <w:autoSpaceDE w:val="0"/>
        <w:ind w:left="0" w:firstLine="720"/>
        <w:jc w:val="both"/>
        <w:rPr>
          <w:sz w:val="27"/>
          <w:szCs w:val="27"/>
        </w:rPr>
      </w:pPr>
      <w:r w:rsidRPr="00886AC1">
        <w:rPr>
          <w:b/>
          <w:bCs/>
          <w:sz w:val="27"/>
          <w:szCs w:val="27"/>
        </w:rPr>
        <w:t>По подразделу 0104</w:t>
      </w:r>
      <w:r w:rsidRPr="00886AC1">
        <w:rPr>
          <w:b/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720938">
        <w:rPr>
          <w:bCs/>
          <w:sz w:val="27"/>
          <w:szCs w:val="27"/>
          <w:lang w:eastAsia="ru-RU"/>
        </w:rPr>
        <w:t xml:space="preserve"> ассигнования уменьшены на сумму </w:t>
      </w:r>
      <w:r w:rsidRPr="00886AC1">
        <w:rPr>
          <w:bCs/>
          <w:sz w:val="27"/>
          <w:szCs w:val="27"/>
          <w:lang w:eastAsia="ru-RU"/>
        </w:rPr>
        <w:t>776,9</w:t>
      </w:r>
      <w:r w:rsidRPr="00720938">
        <w:rPr>
          <w:bCs/>
          <w:sz w:val="27"/>
          <w:szCs w:val="27"/>
          <w:lang w:eastAsia="ru-RU"/>
        </w:rPr>
        <w:t xml:space="preserve"> тыс</w:t>
      </w:r>
      <w:proofErr w:type="gramStart"/>
      <w:r w:rsidRPr="00720938">
        <w:rPr>
          <w:bCs/>
          <w:sz w:val="27"/>
          <w:szCs w:val="27"/>
          <w:lang w:eastAsia="ru-RU"/>
        </w:rPr>
        <w:t>.р</w:t>
      </w:r>
      <w:proofErr w:type="gramEnd"/>
      <w:r w:rsidRPr="00720938">
        <w:rPr>
          <w:bCs/>
          <w:sz w:val="27"/>
          <w:szCs w:val="27"/>
          <w:lang w:eastAsia="ru-RU"/>
        </w:rPr>
        <w:t xml:space="preserve">ублей </w:t>
      </w:r>
      <w:r w:rsidRPr="00720938">
        <w:rPr>
          <w:sz w:val="27"/>
          <w:szCs w:val="27"/>
        </w:rPr>
        <w:t>за счет передвижки бюджетных ассигнований</w:t>
      </w:r>
      <w:r w:rsidRPr="00720938">
        <w:rPr>
          <w:bCs/>
          <w:sz w:val="27"/>
          <w:szCs w:val="27"/>
        </w:rPr>
        <w:t xml:space="preserve"> </w:t>
      </w:r>
      <w:r w:rsidRPr="00720938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720938">
        <w:rPr>
          <w:sz w:val="27"/>
          <w:szCs w:val="27"/>
        </w:rPr>
        <w:t>Княгининского</w:t>
      </w:r>
      <w:proofErr w:type="spellEnd"/>
      <w:r w:rsidRPr="00720938">
        <w:rPr>
          <w:sz w:val="27"/>
          <w:szCs w:val="27"/>
        </w:rPr>
        <w:t xml:space="preserve"> муниципального округа Нижегородской области» на сумму 776,8 тыс.рублей и за счет округления на сумму 0,1 тыс.рублей</w:t>
      </w:r>
    </w:p>
    <w:p w:rsidR="00886AC1" w:rsidRPr="00886AC1" w:rsidRDefault="00886AC1" w:rsidP="00556A2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6AC1">
        <w:rPr>
          <w:rFonts w:ascii="Times New Roman" w:hAnsi="Times New Roman"/>
          <w:b/>
          <w:bCs/>
          <w:sz w:val="27"/>
          <w:szCs w:val="27"/>
        </w:rPr>
        <w:t>1.2.По подразделу 0113 «</w:t>
      </w:r>
      <w:r w:rsidRPr="00886AC1">
        <w:rPr>
          <w:rFonts w:ascii="Times New Roman" w:hAnsi="Times New Roman"/>
          <w:b/>
          <w:bCs/>
          <w:sz w:val="27"/>
          <w:szCs w:val="27"/>
          <w:lang w:eastAsia="ru-RU"/>
        </w:rPr>
        <w:t>Другие общегосударственные вопросы»</w:t>
      </w:r>
      <w:r w:rsidRPr="00886AC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886AC1">
        <w:rPr>
          <w:rFonts w:ascii="Times New Roman" w:hAnsi="Times New Roman"/>
          <w:sz w:val="27"/>
          <w:szCs w:val="27"/>
        </w:rPr>
        <w:t>ассигнования увеличены на сумму 600,0 тыс</w:t>
      </w:r>
      <w:proofErr w:type="gramStart"/>
      <w:r w:rsidRPr="00886AC1">
        <w:rPr>
          <w:rFonts w:ascii="Times New Roman" w:hAnsi="Times New Roman"/>
          <w:sz w:val="27"/>
          <w:szCs w:val="27"/>
        </w:rPr>
        <w:t>.р</w:t>
      </w:r>
      <w:proofErr w:type="gramEnd"/>
      <w:r w:rsidRPr="00886AC1">
        <w:rPr>
          <w:rFonts w:ascii="Times New Roman" w:hAnsi="Times New Roman"/>
          <w:sz w:val="27"/>
          <w:szCs w:val="27"/>
        </w:rPr>
        <w:t>ублей за счет передвижки бюджетных ассигнований</w:t>
      </w:r>
      <w:r w:rsidRPr="00886AC1">
        <w:rPr>
          <w:rFonts w:ascii="Times New Roman" w:hAnsi="Times New Roman"/>
          <w:bCs/>
          <w:sz w:val="27"/>
          <w:szCs w:val="27"/>
        </w:rPr>
        <w:t xml:space="preserve"> </w:t>
      </w:r>
      <w:r w:rsidRPr="00886AC1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886AC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886AC1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</w:t>
      </w:r>
    </w:p>
    <w:p w:rsidR="00886AC1" w:rsidRPr="00886AC1" w:rsidRDefault="00886AC1" w:rsidP="00556A2F">
      <w:pPr>
        <w:pStyle w:val="a6"/>
        <w:suppressAutoHyphens/>
        <w:autoSpaceDE w:val="0"/>
        <w:ind w:left="0" w:firstLine="709"/>
        <w:jc w:val="both"/>
        <w:rPr>
          <w:sz w:val="27"/>
          <w:szCs w:val="27"/>
        </w:rPr>
      </w:pPr>
      <w:r w:rsidRPr="00886AC1">
        <w:rPr>
          <w:bCs/>
          <w:sz w:val="27"/>
          <w:szCs w:val="27"/>
          <w:lang w:eastAsia="ru-RU"/>
        </w:rPr>
        <w:lastRenderedPageBreak/>
        <w:t>2.</w:t>
      </w:r>
      <w:r w:rsidRPr="00886AC1">
        <w:rPr>
          <w:b/>
          <w:bCs/>
          <w:sz w:val="27"/>
          <w:szCs w:val="27"/>
          <w:lang w:eastAsia="ru-RU"/>
        </w:rPr>
        <w:t xml:space="preserve">По разделу </w:t>
      </w:r>
      <w:r w:rsidRPr="00886AC1">
        <w:rPr>
          <w:b/>
          <w:sz w:val="27"/>
          <w:szCs w:val="27"/>
        </w:rPr>
        <w:t>0400 «Национальная экономика»</w:t>
      </w:r>
      <w:r w:rsidRPr="00886AC1">
        <w:rPr>
          <w:sz w:val="27"/>
          <w:szCs w:val="27"/>
        </w:rPr>
        <w:t xml:space="preserve"> ассигнования увеличены </w:t>
      </w:r>
      <w:r w:rsidRPr="00886AC1">
        <w:rPr>
          <w:bCs/>
          <w:sz w:val="27"/>
          <w:szCs w:val="27"/>
          <w:lang w:eastAsia="ru-RU"/>
        </w:rPr>
        <w:t>на сумму 176,8 тыс</w:t>
      </w:r>
      <w:proofErr w:type="gramStart"/>
      <w:r w:rsidRPr="00886AC1">
        <w:rPr>
          <w:bCs/>
          <w:sz w:val="27"/>
          <w:szCs w:val="27"/>
          <w:lang w:eastAsia="ru-RU"/>
        </w:rPr>
        <w:t>.р</w:t>
      </w:r>
      <w:proofErr w:type="gramEnd"/>
      <w:r w:rsidRPr="00886AC1">
        <w:rPr>
          <w:bCs/>
          <w:sz w:val="27"/>
          <w:szCs w:val="27"/>
          <w:lang w:eastAsia="ru-RU"/>
        </w:rPr>
        <w:t>ублей, в том числе:</w:t>
      </w:r>
    </w:p>
    <w:p w:rsidR="00886AC1" w:rsidRPr="00886AC1" w:rsidRDefault="00886AC1" w:rsidP="00556A2F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886AC1">
        <w:rPr>
          <w:bCs/>
          <w:sz w:val="27"/>
          <w:szCs w:val="27"/>
          <w:lang w:eastAsia="ru-RU"/>
        </w:rPr>
        <w:t xml:space="preserve">2.1. </w:t>
      </w:r>
      <w:r w:rsidRPr="00886AC1">
        <w:rPr>
          <w:b/>
          <w:bCs/>
          <w:sz w:val="27"/>
          <w:szCs w:val="27"/>
          <w:lang w:eastAsia="ru-RU"/>
        </w:rPr>
        <w:t xml:space="preserve">По </w:t>
      </w:r>
      <w:r w:rsidRPr="00886AC1">
        <w:rPr>
          <w:b/>
          <w:sz w:val="27"/>
          <w:szCs w:val="27"/>
        </w:rPr>
        <w:t>подразделу 0408 «Транспорт»</w:t>
      </w:r>
      <w:r w:rsidRPr="00886AC1">
        <w:rPr>
          <w:sz w:val="27"/>
          <w:szCs w:val="27"/>
        </w:rPr>
        <w:t xml:space="preserve"> ассигнования увеличены </w:t>
      </w:r>
      <w:r w:rsidRPr="00886AC1">
        <w:rPr>
          <w:bCs/>
          <w:sz w:val="27"/>
          <w:szCs w:val="27"/>
          <w:lang w:eastAsia="ru-RU"/>
        </w:rPr>
        <w:t>на сумму 177,2 тыс</w:t>
      </w:r>
      <w:proofErr w:type="gramStart"/>
      <w:r w:rsidRPr="00886AC1">
        <w:rPr>
          <w:bCs/>
          <w:sz w:val="27"/>
          <w:szCs w:val="27"/>
          <w:lang w:eastAsia="ru-RU"/>
        </w:rPr>
        <w:t>.р</w:t>
      </w:r>
      <w:proofErr w:type="gramEnd"/>
      <w:r w:rsidRPr="00886AC1">
        <w:rPr>
          <w:bCs/>
          <w:sz w:val="27"/>
          <w:szCs w:val="27"/>
          <w:lang w:eastAsia="ru-RU"/>
        </w:rPr>
        <w:t>ублей</w:t>
      </w:r>
      <w:r w:rsidRPr="00886AC1">
        <w:rPr>
          <w:sz w:val="27"/>
          <w:szCs w:val="27"/>
        </w:rPr>
        <w:t xml:space="preserve"> за счет передвижки бюджетных ассигнований</w:t>
      </w:r>
      <w:r w:rsidRPr="00886AC1">
        <w:rPr>
          <w:bCs/>
          <w:sz w:val="27"/>
          <w:szCs w:val="27"/>
        </w:rPr>
        <w:t xml:space="preserve"> </w:t>
      </w:r>
      <w:r w:rsidRPr="00886AC1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886AC1">
        <w:rPr>
          <w:sz w:val="27"/>
          <w:szCs w:val="27"/>
        </w:rPr>
        <w:t>Княгининского</w:t>
      </w:r>
      <w:proofErr w:type="spellEnd"/>
      <w:r w:rsidRPr="00886AC1">
        <w:rPr>
          <w:sz w:val="27"/>
          <w:szCs w:val="27"/>
        </w:rPr>
        <w:t xml:space="preserve"> муниципального округа Нижегородской области». </w:t>
      </w:r>
    </w:p>
    <w:p w:rsidR="00886AC1" w:rsidRPr="00886AC1" w:rsidRDefault="00886AC1" w:rsidP="00556A2F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886AC1">
        <w:rPr>
          <w:bCs/>
          <w:sz w:val="27"/>
          <w:szCs w:val="27"/>
          <w:lang w:eastAsia="ru-RU"/>
        </w:rPr>
        <w:t xml:space="preserve">2.2. </w:t>
      </w:r>
      <w:r w:rsidRPr="00886AC1">
        <w:rPr>
          <w:b/>
          <w:bCs/>
          <w:sz w:val="27"/>
          <w:szCs w:val="27"/>
          <w:lang w:eastAsia="ru-RU"/>
        </w:rPr>
        <w:t xml:space="preserve">По </w:t>
      </w:r>
      <w:r w:rsidRPr="00886AC1">
        <w:rPr>
          <w:b/>
          <w:sz w:val="27"/>
          <w:szCs w:val="27"/>
        </w:rPr>
        <w:t>подразделу 0410 «Связь и информатика»</w:t>
      </w:r>
      <w:r w:rsidRPr="00886AC1">
        <w:rPr>
          <w:sz w:val="27"/>
          <w:szCs w:val="27"/>
        </w:rPr>
        <w:t xml:space="preserve"> ассигнования уменьшены на сумму 0,4 тыс</w:t>
      </w:r>
      <w:proofErr w:type="gramStart"/>
      <w:r w:rsidRPr="00886AC1">
        <w:rPr>
          <w:sz w:val="27"/>
          <w:szCs w:val="27"/>
        </w:rPr>
        <w:t>.р</w:t>
      </w:r>
      <w:proofErr w:type="gramEnd"/>
      <w:r w:rsidRPr="00886AC1">
        <w:rPr>
          <w:sz w:val="27"/>
          <w:szCs w:val="27"/>
        </w:rPr>
        <w:t>ублей за счет передвижки бюджетных ассигнований</w:t>
      </w:r>
      <w:r w:rsidRPr="00886AC1">
        <w:rPr>
          <w:bCs/>
          <w:sz w:val="27"/>
          <w:szCs w:val="27"/>
        </w:rPr>
        <w:t xml:space="preserve"> </w:t>
      </w:r>
      <w:r w:rsidRPr="00886AC1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886AC1">
        <w:rPr>
          <w:sz w:val="27"/>
          <w:szCs w:val="27"/>
        </w:rPr>
        <w:t>Княгининского</w:t>
      </w:r>
      <w:proofErr w:type="spellEnd"/>
      <w:r w:rsidRPr="00886AC1">
        <w:rPr>
          <w:sz w:val="27"/>
          <w:szCs w:val="27"/>
        </w:rPr>
        <w:t xml:space="preserve"> муниципального округа Нижегородской области». </w:t>
      </w:r>
    </w:p>
    <w:p w:rsidR="00836F74" w:rsidRPr="00CB0943" w:rsidRDefault="00836F74" w:rsidP="00836F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</w:rPr>
        <w:t xml:space="preserve">3. </w:t>
      </w:r>
      <w:r w:rsidRPr="00CB0943">
        <w:rPr>
          <w:rFonts w:ascii="Times New Roman" w:hAnsi="Times New Roman"/>
          <w:b/>
          <w:sz w:val="27"/>
          <w:szCs w:val="27"/>
        </w:rPr>
        <w:t>По разделу 0500 «</w:t>
      </w:r>
      <w:r w:rsidRPr="00CB094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Жилищно-коммунальное хозяйство» </w:t>
      </w:r>
      <w:r w:rsidRPr="00CB0943">
        <w:rPr>
          <w:rFonts w:ascii="Times New Roman" w:hAnsi="Times New Roman"/>
          <w:b/>
          <w:sz w:val="27"/>
          <w:szCs w:val="27"/>
        </w:rPr>
        <w:t>подразделу 0502 «Коммунальное хозяйство»</w:t>
      </w:r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</w:t>
      </w:r>
      <w:r w:rsidRPr="00CB0943">
        <w:rPr>
          <w:rFonts w:ascii="Times New Roman" w:hAnsi="Times New Roman"/>
          <w:bCs/>
          <w:sz w:val="27"/>
          <w:szCs w:val="27"/>
        </w:rPr>
        <w:t>на сумму 14 453,2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836F74" w:rsidRPr="00CB0943" w:rsidRDefault="00836F74" w:rsidP="00836F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B0943">
        <w:rPr>
          <w:rFonts w:ascii="Times New Roman" w:hAnsi="Times New Roman"/>
          <w:bCs/>
          <w:sz w:val="27"/>
          <w:szCs w:val="27"/>
        </w:rPr>
        <w:t xml:space="preserve">за счет </w:t>
      </w:r>
      <w:r w:rsidRPr="00CB0943">
        <w:rPr>
          <w:rFonts w:ascii="Times New Roman" w:hAnsi="Times New Roman"/>
          <w:sz w:val="27"/>
          <w:szCs w:val="27"/>
        </w:rPr>
        <w:t xml:space="preserve">возврата остатков </w:t>
      </w:r>
      <w:r w:rsidRPr="00CB0943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Pr="00CB0943">
        <w:rPr>
          <w:rFonts w:ascii="Times New Roman" w:hAnsi="Times New Roman"/>
          <w:sz w:val="27"/>
          <w:szCs w:val="27"/>
        </w:rPr>
        <w:t xml:space="preserve"> на приобретение двух единиц специальной коммунальной техники</w:t>
      </w:r>
      <w:r w:rsidRPr="00CB0943">
        <w:rPr>
          <w:rFonts w:ascii="Times New Roman" w:hAnsi="Times New Roman"/>
          <w:bCs/>
          <w:sz w:val="27"/>
          <w:szCs w:val="27"/>
        </w:rPr>
        <w:t xml:space="preserve"> резервного фонда Правительства Нижегородской области в сумме 11 351,6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ублей;</w:t>
      </w:r>
    </w:p>
    <w:p w:rsidR="00836F74" w:rsidRPr="00CB0943" w:rsidRDefault="00836F74" w:rsidP="00836F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CB0943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</w:t>
      </w:r>
      <w:proofErr w:type="spellStart"/>
      <w:r w:rsidRPr="00CB0943">
        <w:rPr>
          <w:rFonts w:ascii="Times New Roman" w:hAnsi="Times New Roman"/>
          <w:sz w:val="27"/>
          <w:szCs w:val="27"/>
        </w:rPr>
        <w:t>софинансирование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расходов по техническому перевооружению котельной по адресу: Нижегородская область,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район, поселок Возрождение, ул</w:t>
      </w:r>
      <w:proofErr w:type="gramStart"/>
      <w:r w:rsidRPr="00CB0943">
        <w:rPr>
          <w:rFonts w:ascii="Times New Roman" w:hAnsi="Times New Roman"/>
          <w:sz w:val="27"/>
          <w:szCs w:val="27"/>
        </w:rPr>
        <w:t>.П</w:t>
      </w:r>
      <w:proofErr w:type="gramEnd"/>
      <w:r w:rsidRPr="00CB0943">
        <w:rPr>
          <w:rFonts w:ascii="Times New Roman" w:hAnsi="Times New Roman"/>
          <w:sz w:val="27"/>
          <w:szCs w:val="27"/>
        </w:rPr>
        <w:t>олевая, д.66а в сумме 3 101,6 тыс.рублей.</w:t>
      </w:r>
    </w:p>
    <w:p w:rsidR="00836F74" w:rsidRPr="00CB0943" w:rsidRDefault="00836F74" w:rsidP="00836F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4. </w:t>
      </w:r>
      <w:r w:rsidRPr="00CB094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0700 «Образование» по </w:t>
      </w:r>
      <w:r w:rsidRPr="00CB0943">
        <w:rPr>
          <w:rFonts w:ascii="Times New Roman" w:hAnsi="Times New Roman"/>
          <w:b/>
          <w:sz w:val="27"/>
          <w:szCs w:val="27"/>
        </w:rPr>
        <w:t>подразделу 0702 «Общее образование»</w:t>
      </w:r>
      <w:r w:rsidRPr="00CB0943">
        <w:rPr>
          <w:rFonts w:ascii="Times New Roman" w:hAnsi="Times New Roman"/>
          <w:sz w:val="27"/>
          <w:szCs w:val="27"/>
        </w:rPr>
        <w:t xml:space="preserve"> ассигнования увеличены </w:t>
      </w:r>
      <w:r w:rsidRPr="00CB0943">
        <w:rPr>
          <w:rFonts w:ascii="Times New Roman" w:hAnsi="Times New Roman"/>
          <w:bCs/>
          <w:sz w:val="27"/>
          <w:szCs w:val="27"/>
        </w:rPr>
        <w:t>на сумму 976,2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 xml:space="preserve">ублей за </w:t>
      </w:r>
      <w:r w:rsidR="00520064" w:rsidRPr="00CB0943">
        <w:rPr>
          <w:rFonts w:ascii="Times New Roman" w:hAnsi="Times New Roman"/>
          <w:bCs/>
          <w:sz w:val="27"/>
          <w:szCs w:val="27"/>
        </w:rPr>
        <w:t xml:space="preserve"> счет </w:t>
      </w:r>
      <w:r w:rsidRPr="00CB0943">
        <w:rPr>
          <w:rFonts w:ascii="Times New Roman" w:hAnsi="Times New Roman"/>
          <w:sz w:val="27"/>
          <w:szCs w:val="27"/>
        </w:rPr>
        <w:t>уточнения остатков нецелевых средств, сложившихся на счете по состоянию на 01.01.2024 года</w:t>
      </w:r>
      <w:r w:rsidRPr="00CB0943">
        <w:rPr>
          <w:rFonts w:ascii="Times New Roman" w:hAnsi="Times New Roman"/>
          <w:bCs/>
          <w:sz w:val="27"/>
          <w:szCs w:val="27"/>
        </w:rPr>
        <w:t xml:space="preserve"> на проведение капитального ремонта внутренних помещений Муниципального бюджетного общеобразовательного учреждения «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Княгининская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средняя школа №1» по адресу: Нижегородская область,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м.о.,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г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.К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нягинино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>, ул. Октябрьская, д.20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836F74" w:rsidRPr="00CB0943" w:rsidRDefault="00836F74" w:rsidP="00836F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bCs/>
          <w:sz w:val="27"/>
          <w:szCs w:val="27"/>
        </w:rPr>
        <w:t xml:space="preserve">5. </w:t>
      </w:r>
      <w:r w:rsidRPr="00CB0943">
        <w:rPr>
          <w:rFonts w:ascii="Times New Roman" w:hAnsi="Times New Roman"/>
          <w:b/>
          <w:bCs/>
          <w:sz w:val="27"/>
          <w:szCs w:val="27"/>
        </w:rPr>
        <w:t>По разделу 0800 «</w:t>
      </w:r>
      <w:r w:rsidRPr="00CB0943">
        <w:rPr>
          <w:rFonts w:ascii="Times New Roman" w:hAnsi="Times New Roman"/>
          <w:b/>
          <w:bCs/>
          <w:sz w:val="27"/>
          <w:szCs w:val="27"/>
          <w:lang w:eastAsia="ru-RU"/>
        </w:rPr>
        <w:t>Культура, кинематография» подразделу 0801 «Культура»</w:t>
      </w: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CB0943">
        <w:rPr>
          <w:rFonts w:ascii="Times New Roman" w:hAnsi="Times New Roman"/>
          <w:bCs/>
          <w:sz w:val="27"/>
          <w:szCs w:val="27"/>
        </w:rPr>
        <w:t xml:space="preserve"> увеличены на сумму 1 739,9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836F74" w:rsidRPr="00CB0943" w:rsidRDefault="00556A2F" w:rsidP="00836F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="00836F74" w:rsidRPr="00CB0943">
        <w:rPr>
          <w:rFonts w:ascii="Times New Roman" w:hAnsi="Times New Roman"/>
          <w:sz w:val="27"/>
          <w:szCs w:val="27"/>
          <w:lang w:eastAsia="ru-RU"/>
        </w:rPr>
        <w:t>средств фонда на поддержку территорий в сумме 415,0 тыс</w:t>
      </w:r>
      <w:proofErr w:type="gramStart"/>
      <w:r w:rsidR="00836F74" w:rsidRPr="00CB0943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="00836F74" w:rsidRPr="00CB0943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836F74" w:rsidRPr="00CB0943" w:rsidRDefault="00556A2F" w:rsidP="00836F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="00836F74" w:rsidRPr="00CB0943">
        <w:rPr>
          <w:rFonts w:ascii="Times New Roman" w:hAnsi="Times New Roman"/>
          <w:sz w:val="27"/>
          <w:szCs w:val="27"/>
          <w:lang w:eastAsia="ru-RU"/>
        </w:rPr>
        <w:t xml:space="preserve">уточнения остатков </w:t>
      </w:r>
      <w:r w:rsidR="00836F74" w:rsidRPr="00CB0943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оплату коммунальных услуг муниципальным бюджетным учреждениям культуры в сумме 1 324,9 </w:t>
      </w:r>
      <w:r w:rsidR="00836F74" w:rsidRPr="00CB0943">
        <w:rPr>
          <w:rFonts w:ascii="Times New Roman" w:hAnsi="Times New Roman"/>
          <w:sz w:val="27"/>
          <w:szCs w:val="27"/>
          <w:lang w:eastAsia="ru-RU"/>
        </w:rPr>
        <w:t>тыс. рублей.</w:t>
      </w:r>
    </w:p>
    <w:p w:rsidR="005617B2" w:rsidRPr="00CB0943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704 856,8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704 856,8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6AC1" w:rsidRPr="00CB0943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514F5A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886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14F5A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EAF" w:rsidRPr="00834966" w:rsidRDefault="00645EAF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678 178,9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678 178,9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proofErr w:type="spellStart"/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бюджетные</w:t>
      </w:r>
      <w:proofErr w:type="spellEnd"/>
      <w:r w:rsidR="0099377F" w:rsidRPr="00CB0943">
        <w:rPr>
          <w:rFonts w:ascii="Times New Roman" w:hAnsi="Times New Roman"/>
          <w:sz w:val="27"/>
          <w:szCs w:val="27"/>
        </w:rPr>
        <w:t xml:space="preserve">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242FCC" w:rsidRPr="00656E9C" w:rsidRDefault="0099377F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514F5A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886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5A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14F5A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514F5A" w:rsidRPr="00650D91" w:rsidRDefault="00514F5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970" w:rsidRPr="00834966" w:rsidRDefault="00B80970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Pr="005745F4" w:rsidRDefault="00E564AD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CB0943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</w:t>
      </w:r>
      <w:r w:rsidRPr="00CB0943">
        <w:rPr>
          <w:rFonts w:ascii="Times New Roman" w:hAnsi="Times New Roman"/>
          <w:sz w:val="27"/>
          <w:szCs w:val="27"/>
        </w:rPr>
        <w:lastRenderedPageBreak/>
        <w:t>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F06D33" w:rsidRPr="00CB0943" w:rsidRDefault="00F06D33" w:rsidP="00F06D33">
      <w:pPr>
        <w:numPr>
          <w:ilvl w:val="0"/>
          <w:numId w:val="2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CB0943">
        <w:rPr>
          <w:rFonts w:ascii="Times New Roman" w:hAnsi="Times New Roman"/>
          <w:bCs/>
          <w:sz w:val="27"/>
          <w:szCs w:val="27"/>
        </w:rPr>
        <w:t xml:space="preserve"> бюджетные ассигнования увеличены на сумму 1 739,9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>-средств фонда на поддержку территорий в сумме 415,0 тыс</w:t>
      </w:r>
      <w:proofErr w:type="gramStart"/>
      <w:r w:rsidRPr="00CB0943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CB0943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 xml:space="preserve">-уточнения остатков </w:t>
      </w:r>
      <w:r w:rsidRPr="00CB0943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оплату коммунальных услуг муниципальным бюджетным учреждениям культуры в сумме 1 324,9 </w:t>
      </w:r>
      <w:r w:rsidRPr="00CB0943">
        <w:rPr>
          <w:rFonts w:ascii="Times New Roman" w:hAnsi="Times New Roman"/>
          <w:sz w:val="27"/>
          <w:szCs w:val="27"/>
          <w:lang w:eastAsia="ru-RU"/>
        </w:rPr>
        <w:t>тыс. рублей.</w:t>
      </w:r>
    </w:p>
    <w:p w:rsidR="00F06D33" w:rsidRPr="00CB0943" w:rsidRDefault="00F06D33" w:rsidP="00F06D3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bCs/>
          <w:sz w:val="27"/>
          <w:szCs w:val="27"/>
        </w:rPr>
        <w:t xml:space="preserve">2.  </w:t>
      </w:r>
      <w:r w:rsidRPr="00CB0943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ассигнования увеличены  на сумму 976,2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 xml:space="preserve">ублей за счет </w:t>
      </w:r>
      <w:r w:rsidRPr="00CB0943">
        <w:rPr>
          <w:rFonts w:ascii="Times New Roman" w:hAnsi="Times New Roman"/>
          <w:sz w:val="27"/>
          <w:szCs w:val="27"/>
        </w:rPr>
        <w:t>уточнения остатков нецелевых средств, сложившихся на счете по состоянию на 01.01.2024 года</w:t>
      </w:r>
      <w:r w:rsidRPr="00CB0943">
        <w:rPr>
          <w:rFonts w:ascii="Times New Roman" w:hAnsi="Times New Roman"/>
          <w:bCs/>
          <w:sz w:val="27"/>
          <w:szCs w:val="27"/>
        </w:rPr>
        <w:t xml:space="preserve"> на проведение капитального ремонта внутренних помещений Муниципального бюджетного общеобразовательного учреждения «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Княгининская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средняя школа №1» по адресу: Нижегородская область,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м.о.,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г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.К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нягинино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>, ул. Октябрьская, д.20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3. </w:t>
      </w:r>
      <w:r w:rsidRPr="00CB0943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</w:t>
      </w:r>
      <w:r w:rsidRPr="00CB0943">
        <w:rPr>
          <w:rFonts w:ascii="Times New Roman" w:hAnsi="Times New Roman"/>
          <w:bCs/>
          <w:sz w:val="27"/>
          <w:szCs w:val="27"/>
        </w:rPr>
        <w:t>увеличены</w:t>
      </w:r>
      <w:r w:rsidRPr="00CB094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сумму 14 453,1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14 453,2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из них: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B0943">
        <w:rPr>
          <w:rFonts w:ascii="Times New Roman" w:hAnsi="Times New Roman"/>
          <w:bCs/>
          <w:sz w:val="27"/>
          <w:szCs w:val="27"/>
        </w:rPr>
        <w:t xml:space="preserve">-за счет </w:t>
      </w:r>
      <w:r w:rsidRPr="00CB0943">
        <w:rPr>
          <w:rFonts w:ascii="Times New Roman" w:hAnsi="Times New Roman"/>
          <w:sz w:val="27"/>
          <w:szCs w:val="27"/>
        </w:rPr>
        <w:t xml:space="preserve">возврата остатков </w:t>
      </w:r>
      <w:r w:rsidRPr="00CB0943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Pr="00CB0943">
        <w:rPr>
          <w:rFonts w:ascii="Times New Roman" w:hAnsi="Times New Roman"/>
          <w:sz w:val="27"/>
          <w:szCs w:val="27"/>
        </w:rPr>
        <w:t xml:space="preserve"> на приобретение двух единиц специальной коммунальной техники</w:t>
      </w:r>
      <w:r w:rsidRPr="00CB0943">
        <w:rPr>
          <w:rFonts w:ascii="Times New Roman" w:hAnsi="Times New Roman"/>
          <w:bCs/>
          <w:sz w:val="27"/>
          <w:szCs w:val="27"/>
        </w:rPr>
        <w:t xml:space="preserve"> резервного фонда Правительства Нижегородской области в сумме 11 351,6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ублей;</w:t>
      </w:r>
    </w:p>
    <w:p w:rsidR="00F06D33" w:rsidRPr="00CB0943" w:rsidRDefault="00F06D33" w:rsidP="00F06D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 xml:space="preserve">-за счет уточнения остатков </w:t>
      </w:r>
      <w:r w:rsidRPr="00CB0943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</w:t>
      </w:r>
      <w:proofErr w:type="spellStart"/>
      <w:r w:rsidRPr="00CB0943">
        <w:rPr>
          <w:rFonts w:ascii="Times New Roman" w:hAnsi="Times New Roman"/>
          <w:sz w:val="27"/>
          <w:szCs w:val="27"/>
        </w:rPr>
        <w:t>софинансирование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расходов по техническому перевооружению котельной по адресу: Нижегородская область,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район, поселок Возрождение, ул</w:t>
      </w:r>
      <w:proofErr w:type="gramStart"/>
      <w:r w:rsidRPr="00CB0943">
        <w:rPr>
          <w:rFonts w:ascii="Times New Roman" w:hAnsi="Times New Roman"/>
          <w:sz w:val="27"/>
          <w:szCs w:val="27"/>
        </w:rPr>
        <w:t>.П</w:t>
      </w:r>
      <w:proofErr w:type="gramEnd"/>
      <w:r w:rsidRPr="00CB0943">
        <w:rPr>
          <w:rFonts w:ascii="Times New Roman" w:hAnsi="Times New Roman"/>
          <w:sz w:val="27"/>
          <w:szCs w:val="27"/>
        </w:rPr>
        <w:t>олевая, д.66а в сумме 3 101,6 тыс.рублей.</w:t>
      </w:r>
    </w:p>
    <w:p w:rsidR="00F06D33" w:rsidRPr="00CB0943" w:rsidRDefault="00F06D33" w:rsidP="00F06D3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Уменьшены бюджетные ассигнования на сумму 0,1 тыс</w:t>
      </w:r>
      <w:proofErr w:type="gramStart"/>
      <w:r w:rsidRPr="00CB0943">
        <w:rPr>
          <w:rFonts w:ascii="Times New Roman" w:hAnsi="Times New Roman"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sz w:val="27"/>
          <w:szCs w:val="27"/>
        </w:rPr>
        <w:t>ублей за счет округления.</w:t>
      </w:r>
    </w:p>
    <w:p w:rsidR="007165FB" w:rsidRPr="00CB0943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</w:t>
      </w:r>
      <w:r w:rsidR="00F06D33" w:rsidRPr="00CB0943">
        <w:rPr>
          <w:rFonts w:ascii="Times New Roman" w:hAnsi="Times New Roman"/>
          <w:color w:val="000000"/>
          <w:sz w:val="27"/>
          <w:szCs w:val="27"/>
        </w:rPr>
        <w:t>года</w:t>
      </w:r>
      <w:r w:rsidR="00F06D33" w:rsidRPr="00CB094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бюджетные ассигнования муниципального округа по ведомственной структуре расходов</w:t>
      </w:r>
      <w:r w:rsidRPr="00CB0943">
        <w:rPr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остаются на прежнем уровне (694 575,9 тыс. рублей</w:t>
      </w:r>
      <w:r w:rsidR="00F06D33" w:rsidRPr="00CB0943">
        <w:rPr>
          <w:rFonts w:ascii="Times New Roman" w:hAnsi="Times New Roman"/>
          <w:sz w:val="27"/>
          <w:szCs w:val="27"/>
        </w:rPr>
        <w:t>).</w:t>
      </w:r>
    </w:p>
    <w:p w:rsidR="00F06D33" w:rsidRPr="00CB0943" w:rsidRDefault="00F06D33" w:rsidP="00F06D33">
      <w:pPr>
        <w:pStyle w:val="ConsPlusTitle0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bCs w:val="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 плановом периоде 2026 года</w:t>
      </w:r>
      <w:r w:rsidRPr="00CB094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бюджетные ассигнования</w:t>
      </w:r>
      <w:r w:rsidRPr="00CB0943">
        <w:rPr>
          <w:rFonts w:ascii="Times New Roman" w:hAnsi="Times New Roman" w:cs="Times New Roman"/>
          <w:sz w:val="27"/>
          <w:szCs w:val="27"/>
        </w:rPr>
        <w:t xml:space="preserve"> </w:t>
      </w:r>
      <w:r w:rsidRPr="00CB0943">
        <w:rPr>
          <w:rFonts w:ascii="Times New Roman" w:hAnsi="Times New Roman" w:cs="Times New Roman"/>
          <w:bCs w:val="0"/>
          <w:sz w:val="27"/>
          <w:szCs w:val="27"/>
        </w:rPr>
        <w:t>по главному распорядителю бюджетных средств «</w:t>
      </w:r>
      <w:r w:rsidRPr="00CB0943">
        <w:rPr>
          <w:rFonts w:ascii="Times New Roman" w:hAnsi="Times New Roman" w:cs="Times New Roman"/>
          <w:b/>
          <w:sz w:val="27"/>
          <w:szCs w:val="27"/>
        </w:rPr>
        <w:t xml:space="preserve">Управление образования и молодежной политики  администрации </w:t>
      </w:r>
      <w:proofErr w:type="spellStart"/>
      <w:r w:rsidRPr="00CB0943">
        <w:rPr>
          <w:rFonts w:ascii="Times New Roman" w:hAnsi="Times New Roman" w:cs="Times New Roman"/>
          <w:b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 w:cs="Times New Roman"/>
          <w:b/>
          <w:sz w:val="27"/>
          <w:szCs w:val="27"/>
        </w:rPr>
        <w:t xml:space="preserve"> муниципального округа Нижегородской области»</w:t>
      </w:r>
      <w:r w:rsidRPr="00CB0943">
        <w:rPr>
          <w:rFonts w:ascii="Times New Roman" w:hAnsi="Times New Roman" w:cs="Times New Roman"/>
          <w:sz w:val="27"/>
          <w:szCs w:val="27"/>
        </w:rPr>
        <w:t xml:space="preserve"> увелич</w:t>
      </w:r>
      <w:r w:rsidR="0044778A" w:rsidRPr="00CB0943">
        <w:rPr>
          <w:rFonts w:ascii="Times New Roman" w:hAnsi="Times New Roman" w:cs="Times New Roman"/>
          <w:sz w:val="27"/>
          <w:szCs w:val="27"/>
        </w:rPr>
        <w:t>иваются</w:t>
      </w:r>
      <w:r w:rsidRPr="00CB0943">
        <w:rPr>
          <w:rFonts w:ascii="Times New Roman" w:hAnsi="Times New Roman" w:cs="Times New Roman"/>
          <w:sz w:val="27"/>
          <w:szCs w:val="27"/>
        </w:rPr>
        <w:t xml:space="preserve"> на 10,0 тыс</w:t>
      </w:r>
      <w:proofErr w:type="gramStart"/>
      <w:r w:rsidRPr="00CB0943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CB0943">
        <w:rPr>
          <w:rFonts w:ascii="Times New Roman" w:hAnsi="Times New Roman" w:cs="Times New Roman"/>
          <w:sz w:val="27"/>
          <w:szCs w:val="27"/>
        </w:rPr>
        <w:t>ублей,</w:t>
      </w:r>
      <w:r w:rsidR="0044778A" w:rsidRPr="00CB0943">
        <w:rPr>
          <w:rFonts w:ascii="Times New Roman" w:hAnsi="Times New Roman" w:cs="Times New Roman"/>
          <w:sz w:val="27"/>
          <w:szCs w:val="27"/>
        </w:rPr>
        <w:t xml:space="preserve"> а</w:t>
      </w:r>
      <w:r w:rsidRPr="00CB0943">
        <w:rPr>
          <w:rFonts w:ascii="Times New Roman" w:hAnsi="Times New Roman" w:cs="Times New Roman"/>
          <w:sz w:val="27"/>
          <w:szCs w:val="27"/>
        </w:rPr>
        <w:t xml:space="preserve"> по </w:t>
      </w:r>
      <w:r w:rsidRPr="00CB0943">
        <w:rPr>
          <w:rFonts w:ascii="Times New Roman" w:hAnsi="Times New Roman" w:cs="Times New Roman"/>
          <w:bCs w:val="0"/>
          <w:sz w:val="27"/>
          <w:szCs w:val="27"/>
        </w:rPr>
        <w:t>главному распорядителю бюджетных средств</w:t>
      </w:r>
      <w:r w:rsidRPr="00CB0943">
        <w:rPr>
          <w:rFonts w:ascii="Times New Roman" w:hAnsi="Times New Roman" w:cs="Times New Roman"/>
          <w:sz w:val="27"/>
          <w:szCs w:val="27"/>
        </w:rPr>
        <w:t xml:space="preserve"> </w:t>
      </w:r>
      <w:r w:rsidRPr="00CB0943">
        <w:rPr>
          <w:rFonts w:ascii="Times New Roman" w:hAnsi="Times New Roman" w:cs="Times New Roman"/>
          <w:b/>
          <w:sz w:val="27"/>
          <w:szCs w:val="27"/>
        </w:rPr>
        <w:t>«</w:t>
      </w:r>
      <w:r w:rsidRPr="00CB0943">
        <w:rPr>
          <w:rFonts w:ascii="Times New Roman" w:hAnsi="Times New Roman" w:cs="Times New Roman"/>
          <w:b/>
          <w:bCs w:val="0"/>
          <w:sz w:val="27"/>
          <w:szCs w:val="27"/>
        </w:rPr>
        <w:t xml:space="preserve">Отдел физической культуры и спорта администрации </w:t>
      </w:r>
      <w:proofErr w:type="spellStart"/>
      <w:r w:rsidRPr="00CB0943">
        <w:rPr>
          <w:rFonts w:ascii="Times New Roman" w:hAnsi="Times New Roman" w:cs="Times New Roman"/>
          <w:b/>
          <w:bCs w:val="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 w:cs="Times New Roman"/>
          <w:b/>
          <w:bCs w:val="0"/>
          <w:sz w:val="27"/>
          <w:szCs w:val="27"/>
        </w:rPr>
        <w:t xml:space="preserve"> муниципального округа Нижегородской области»</w:t>
      </w:r>
      <w:r w:rsidR="0044778A" w:rsidRPr="00CB0943">
        <w:rPr>
          <w:rFonts w:ascii="Times New Roman" w:hAnsi="Times New Roman" w:cs="Times New Roman"/>
          <w:bCs w:val="0"/>
          <w:sz w:val="27"/>
          <w:szCs w:val="27"/>
        </w:rPr>
        <w:t xml:space="preserve"> уменьшаются</w:t>
      </w:r>
      <w:r w:rsidRPr="00CB0943">
        <w:rPr>
          <w:rFonts w:ascii="Times New Roman" w:hAnsi="Times New Roman" w:cs="Times New Roman"/>
          <w:bCs w:val="0"/>
          <w:sz w:val="27"/>
          <w:szCs w:val="27"/>
        </w:rPr>
        <w:t xml:space="preserve"> на 10,0 тыс.рублей   по предоставлению субсидии муниципальному бюджетному учреждению дополнительного образования </w:t>
      </w:r>
      <w:r w:rsidRPr="00CB0943">
        <w:rPr>
          <w:rFonts w:ascii="Times New Roman" w:hAnsi="Times New Roman" w:cs="Times New Roman"/>
          <w:bCs w:val="0"/>
          <w:sz w:val="27"/>
          <w:szCs w:val="27"/>
        </w:rPr>
        <w:lastRenderedPageBreak/>
        <w:t>оздоровительно-образовательный центр «</w:t>
      </w:r>
      <w:proofErr w:type="gramStart"/>
      <w:r w:rsidRPr="00CB0943">
        <w:rPr>
          <w:rFonts w:ascii="Times New Roman" w:hAnsi="Times New Roman" w:cs="Times New Roman"/>
          <w:bCs w:val="0"/>
          <w:sz w:val="27"/>
          <w:szCs w:val="27"/>
        </w:rPr>
        <w:t>Гремячий</w:t>
      </w:r>
      <w:proofErr w:type="gramEnd"/>
      <w:r w:rsidRPr="00CB0943">
        <w:rPr>
          <w:rFonts w:ascii="Times New Roman" w:hAnsi="Times New Roman" w:cs="Times New Roman"/>
          <w:bCs w:val="0"/>
          <w:sz w:val="27"/>
          <w:szCs w:val="27"/>
        </w:rPr>
        <w:t>»   в связи со сменой подведомственности</w:t>
      </w:r>
      <w:r w:rsidR="0044778A" w:rsidRPr="00CB0943">
        <w:rPr>
          <w:rFonts w:ascii="Times New Roman" w:hAnsi="Times New Roman" w:cs="Times New Roman"/>
          <w:bCs w:val="0"/>
          <w:sz w:val="27"/>
          <w:szCs w:val="27"/>
        </w:rPr>
        <w:t xml:space="preserve"> и составят</w:t>
      </w:r>
      <w:r w:rsidRPr="00CB0943">
        <w:rPr>
          <w:rFonts w:ascii="Times New Roman" w:hAnsi="Times New Roman"/>
          <w:sz w:val="27"/>
          <w:szCs w:val="27"/>
        </w:rPr>
        <w:t xml:space="preserve"> 656 648,2 тыс. рублей</w:t>
      </w:r>
      <w:r w:rsidR="0044778A" w:rsidRPr="00CB0943">
        <w:rPr>
          <w:rFonts w:ascii="Times New Roman" w:hAnsi="Times New Roman"/>
          <w:sz w:val="27"/>
          <w:szCs w:val="27"/>
        </w:rPr>
        <w:t>.</w:t>
      </w:r>
    </w:p>
    <w:p w:rsidR="007165FB" w:rsidRPr="00CB0943" w:rsidRDefault="007165FB" w:rsidP="007165F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47291" w:rsidRPr="00CB0943" w:rsidRDefault="00162B7C" w:rsidP="00F41C21">
      <w:pPr>
        <w:autoSpaceDE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Изменение ассигнований на реализацию муниципальных программ представлено в </w:t>
      </w:r>
      <w:r w:rsidR="00A200A1" w:rsidRPr="00CB0943">
        <w:rPr>
          <w:rFonts w:ascii="Times New Roman" w:hAnsi="Times New Roman"/>
          <w:b/>
          <w:i/>
          <w:sz w:val="27"/>
          <w:szCs w:val="27"/>
        </w:rPr>
        <w:t>Приложение</w:t>
      </w:r>
      <w:r w:rsidRPr="00CB0943">
        <w:rPr>
          <w:rFonts w:ascii="Times New Roman" w:hAnsi="Times New Roman"/>
          <w:b/>
          <w:i/>
          <w:sz w:val="27"/>
          <w:szCs w:val="27"/>
        </w:rPr>
        <w:t xml:space="preserve"> № </w:t>
      </w:r>
      <w:r w:rsidR="006E5CC4" w:rsidRPr="00CB0943">
        <w:rPr>
          <w:rFonts w:ascii="Times New Roman" w:hAnsi="Times New Roman"/>
          <w:b/>
          <w:i/>
          <w:sz w:val="27"/>
          <w:szCs w:val="27"/>
        </w:rPr>
        <w:t>2</w:t>
      </w:r>
      <w:r w:rsidR="00A200A1" w:rsidRPr="00CB0943">
        <w:rPr>
          <w:rFonts w:ascii="Times New Roman" w:hAnsi="Times New Roman"/>
          <w:sz w:val="27"/>
          <w:szCs w:val="27"/>
        </w:rPr>
        <w:t xml:space="preserve"> к заключению </w:t>
      </w:r>
      <w:r w:rsidR="00261252" w:rsidRPr="00CB0943">
        <w:rPr>
          <w:rFonts w:ascii="Times New Roman" w:hAnsi="Times New Roman"/>
          <w:sz w:val="27"/>
          <w:szCs w:val="27"/>
        </w:rPr>
        <w:t>К</w:t>
      </w:r>
      <w:r w:rsidR="00A200A1" w:rsidRPr="00CB0943">
        <w:rPr>
          <w:rFonts w:ascii="Times New Roman" w:hAnsi="Times New Roman"/>
          <w:sz w:val="27"/>
          <w:szCs w:val="27"/>
        </w:rPr>
        <w:t>онтрольно-счетной инспекции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Уточнение бюджетных ассигнований </w:t>
      </w:r>
      <w:r w:rsidRPr="00CB0943">
        <w:rPr>
          <w:rFonts w:ascii="Times New Roman" w:hAnsi="Times New Roman"/>
          <w:b/>
          <w:sz w:val="27"/>
          <w:szCs w:val="27"/>
        </w:rPr>
        <w:t>202</w:t>
      </w:r>
      <w:r w:rsidR="00F41C21" w:rsidRPr="00CB0943">
        <w:rPr>
          <w:rFonts w:ascii="Times New Roman" w:hAnsi="Times New Roman"/>
          <w:b/>
          <w:sz w:val="27"/>
          <w:szCs w:val="27"/>
        </w:rPr>
        <w:t>4</w:t>
      </w:r>
      <w:r w:rsidRPr="00CB0943">
        <w:rPr>
          <w:rFonts w:ascii="Times New Roman" w:hAnsi="Times New Roman"/>
          <w:b/>
          <w:sz w:val="27"/>
          <w:szCs w:val="27"/>
        </w:rPr>
        <w:t xml:space="preserve"> года</w:t>
      </w:r>
      <w:r w:rsidRPr="00CB0943">
        <w:rPr>
          <w:rFonts w:ascii="Times New Roman" w:hAnsi="Times New Roman"/>
          <w:sz w:val="27"/>
          <w:szCs w:val="27"/>
        </w:rPr>
        <w:t xml:space="preserve"> характеризуется уточнением расходов на реализацию муниципальных программ согласно Пояснительной записк</w:t>
      </w:r>
      <w:r w:rsidR="00725B24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DA2771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725B24" w:rsidRPr="00CB0943" w:rsidRDefault="00725B24" w:rsidP="00E533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Ассигнования 202</w:t>
      </w:r>
      <w:r w:rsidR="006B24C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увеличены на сумму </w:t>
      </w:r>
      <w:r w:rsidR="00890B92" w:rsidRPr="00CB0943">
        <w:rPr>
          <w:rFonts w:ascii="Times New Roman" w:hAnsi="Times New Roman"/>
          <w:b/>
          <w:sz w:val="27"/>
          <w:szCs w:val="27"/>
        </w:rPr>
        <w:t>16 588,1</w:t>
      </w:r>
      <w:r w:rsidR="00C540E7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рублей. Изменения произошли за счет изменения объема межбюджетных трансфертов из федерального и областного бюджетов</w:t>
      </w:r>
      <w:r w:rsidRPr="00CB0943">
        <w:rPr>
          <w:rFonts w:ascii="Times New Roman" w:hAnsi="Times New Roman"/>
          <w:bCs/>
          <w:sz w:val="27"/>
          <w:szCs w:val="27"/>
        </w:rPr>
        <w:t>, а также уточнения остатков нецелевых средств по состоянию на 01 января 202</w:t>
      </w:r>
      <w:r w:rsidR="006B24CC" w:rsidRPr="00CB0943">
        <w:rPr>
          <w:rFonts w:ascii="Times New Roman" w:hAnsi="Times New Roman"/>
          <w:bCs/>
          <w:sz w:val="27"/>
          <w:szCs w:val="27"/>
        </w:rPr>
        <w:t>4</w:t>
      </w:r>
      <w:r w:rsidRPr="00CB0943">
        <w:rPr>
          <w:rFonts w:ascii="Times New Roman" w:hAnsi="Times New Roman"/>
          <w:bCs/>
          <w:sz w:val="27"/>
          <w:szCs w:val="27"/>
        </w:rPr>
        <w:t xml:space="preserve"> года.</w:t>
      </w:r>
    </w:p>
    <w:p w:rsidR="00890B92" w:rsidRPr="00CB0943" w:rsidRDefault="00890B92" w:rsidP="00890B9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B0943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CB0943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</w:t>
      </w:r>
      <w:r w:rsidRPr="00CB0943">
        <w:rPr>
          <w:rFonts w:ascii="Times New Roman" w:hAnsi="Times New Roman"/>
          <w:bCs/>
          <w:sz w:val="27"/>
          <w:szCs w:val="27"/>
        </w:rPr>
        <w:t>на 2023-2027 годы ассигнования увеличились на сумму 976,2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 xml:space="preserve">ублей за счет </w:t>
      </w:r>
      <w:r w:rsidRPr="00CB0943">
        <w:rPr>
          <w:rFonts w:ascii="Times New Roman" w:hAnsi="Times New Roman"/>
          <w:sz w:val="27"/>
          <w:szCs w:val="27"/>
        </w:rPr>
        <w:t>уточнения остатков нецелевых средств, сложившихся на счете по состоянию на 01.01.2024 года</w:t>
      </w:r>
      <w:r w:rsidRPr="00CB0943">
        <w:rPr>
          <w:rFonts w:ascii="Times New Roman" w:hAnsi="Times New Roman"/>
          <w:bCs/>
          <w:sz w:val="27"/>
          <w:szCs w:val="27"/>
        </w:rPr>
        <w:t xml:space="preserve"> на проведение капитального ремонта внутренних помещений Муниципального бюджетного общеобразовательного учреждения «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Княгининская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средняя школа №1» по адресу: Нижегородская область,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м.о.,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г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.К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нягинино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>, ул. Октябрьская, д.20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890B92" w:rsidRPr="00CB0943" w:rsidRDefault="00890B92" w:rsidP="00890B92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B0943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CB0943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</w:t>
      </w:r>
      <w:r w:rsidRPr="00CB0943">
        <w:rPr>
          <w:rFonts w:ascii="Times New Roman" w:hAnsi="Times New Roman"/>
          <w:bCs/>
          <w:sz w:val="27"/>
          <w:szCs w:val="27"/>
        </w:rPr>
        <w:t>на 2023-2027 годы ассигнования увеличены на сумму 14 453,2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56A2F" w:rsidRPr="00556A2F" w:rsidRDefault="00556A2F" w:rsidP="00556A2F">
      <w:pPr>
        <w:numPr>
          <w:ilvl w:val="0"/>
          <w:numId w:val="2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556A2F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556A2F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14 630,4 тыс</w:t>
      </w:r>
      <w:proofErr w:type="gramStart"/>
      <w:r w:rsidRPr="00556A2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56A2F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56A2F" w:rsidRPr="00556A2F" w:rsidRDefault="00556A2F" w:rsidP="00556A2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</w:t>
      </w:r>
      <w:r w:rsidRPr="00556A2F">
        <w:rPr>
          <w:rFonts w:ascii="Times New Roman" w:hAnsi="Times New Roman"/>
          <w:bCs/>
          <w:sz w:val="27"/>
          <w:szCs w:val="27"/>
        </w:rPr>
        <w:t xml:space="preserve">за счет </w:t>
      </w:r>
      <w:r w:rsidRPr="00556A2F">
        <w:rPr>
          <w:rFonts w:ascii="Times New Roman" w:hAnsi="Times New Roman"/>
          <w:sz w:val="27"/>
          <w:szCs w:val="27"/>
        </w:rPr>
        <w:t xml:space="preserve">возврата остатков </w:t>
      </w:r>
      <w:r w:rsidRPr="00556A2F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Pr="00556A2F">
        <w:rPr>
          <w:rFonts w:ascii="Times New Roman" w:hAnsi="Times New Roman"/>
          <w:sz w:val="27"/>
          <w:szCs w:val="27"/>
        </w:rPr>
        <w:t xml:space="preserve"> на приобретение двух единиц специальной коммунальной техники</w:t>
      </w:r>
      <w:r w:rsidRPr="00556A2F">
        <w:rPr>
          <w:rFonts w:ascii="Times New Roman" w:hAnsi="Times New Roman"/>
          <w:bCs/>
          <w:sz w:val="27"/>
          <w:szCs w:val="27"/>
        </w:rPr>
        <w:t xml:space="preserve"> резервного фонда Правительства Нижегородской области в сумме 11 351,6 тыс</w:t>
      </w:r>
      <w:proofErr w:type="gramStart"/>
      <w:r w:rsidRPr="00556A2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56A2F">
        <w:rPr>
          <w:rFonts w:ascii="Times New Roman" w:hAnsi="Times New Roman"/>
          <w:bCs/>
          <w:sz w:val="27"/>
          <w:szCs w:val="27"/>
        </w:rPr>
        <w:t>ублей;</w:t>
      </w:r>
    </w:p>
    <w:p w:rsidR="00556A2F" w:rsidRPr="00556A2F" w:rsidRDefault="00556A2F" w:rsidP="00556A2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556A2F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556A2F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</w:t>
      </w:r>
      <w:proofErr w:type="spellStart"/>
      <w:r w:rsidRPr="00556A2F">
        <w:rPr>
          <w:rFonts w:ascii="Times New Roman" w:hAnsi="Times New Roman"/>
          <w:sz w:val="27"/>
          <w:szCs w:val="27"/>
        </w:rPr>
        <w:t>софинансирование</w:t>
      </w:r>
      <w:proofErr w:type="spellEnd"/>
      <w:r w:rsidRPr="00556A2F">
        <w:rPr>
          <w:rFonts w:ascii="Times New Roman" w:hAnsi="Times New Roman"/>
          <w:sz w:val="27"/>
          <w:szCs w:val="27"/>
        </w:rPr>
        <w:t xml:space="preserve"> расходов по техническому перевооружению котельной по адресу: Нижегородская область, </w:t>
      </w:r>
      <w:proofErr w:type="spellStart"/>
      <w:r w:rsidRPr="00556A2F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556A2F">
        <w:rPr>
          <w:rFonts w:ascii="Times New Roman" w:hAnsi="Times New Roman"/>
          <w:sz w:val="27"/>
          <w:szCs w:val="27"/>
        </w:rPr>
        <w:t xml:space="preserve"> район, поселок Возрождение, ул</w:t>
      </w:r>
      <w:proofErr w:type="gramStart"/>
      <w:r w:rsidRPr="00556A2F">
        <w:rPr>
          <w:rFonts w:ascii="Times New Roman" w:hAnsi="Times New Roman"/>
          <w:sz w:val="27"/>
          <w:szCs w:val="27"/>
        </w:rPr>
        <w:t>.П</w:t>
      </w:r>
      <w:proofErr w:type="gramEnd"/>
      <w:r w:rsidRPr="00556A2F">
        <w:rPr>
          <w:rFonts w:ascii="Times New Roman" w:hAnsi="Times New Roman"/>
          <w:sz w:val="27"/>
          <w:szCs w:val="27"/>
        </w:rPr>
        <w:t>олевая, д.66а в сумме 3 101,6 тыс.рублей;</w:t>
      </w:r>
    </w:p>
    <w:p w:rsidR="00556A2F" w:rsidRPr="00556A2F" w:rsidRDefault="00556A2F" w:rsidP="00556A2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-</w:t>
      </w:r>
      <w:r w:rsidRPr="00556A2F">
        <w:rPr>
          <w:rFonts w:ascii="Times New Roman" w:hAnsi="Times New Roman"/>
          <w:sz w:val="27"/>
          <w:szCs w:val="27"/>
        </w:rPr>
        <w:t xml:space="preserve">за счет передвижки бюджетных ассигнований по главному распорядителю бюджетных средств «Администрация </w:t>
      </w:r>
      <w:proofErr w:type="spellStart"/>
      <w:r w:rsidRPr="00556A2F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sz w:val="27"/>
          <w:szCs w:val="27"/>
        </w:rPr>
        <w:t xml:space="preserve"> </w:t>
      </w:r>
      <w:r w:rsidRPr="00556A2F">
        <w:rPr>
          <w:rFonts w:ascii="Times New Roman" w:hAnsi="Times New Roman"/>
          <w:sz w:val="27"/>
          <w:szCs w:val="27"/>
        </w:rPr>
        <w:lastRenderedPageBreak/>
        <w:t>муниципального округа Нижегородской области» в пределах общего объема бюджетных ассигнований в сумме 177,2 тыс</w:t>
      </w:r>
      <w:proofErr w:type="gramStart"/>
      <w:r w:rsidRPr="00556A2F">
        <w:rPr>
          <w:rFonts w:ascii="Times New Roman" w:hAnsi="Times New Roman"/>
          <w:sz w:val="27"/>
          <w:szCs w:val="27"/>
        </w:rPr>
        <w:t>.р</w:t>
      </w:r>
      <w:proofErr w:type="gramEnd"/>
      <w:r w:rsidRPr="00556A2F">
        <w:rPr>
          <w:rFonts w:ascii="Times New Roman" w:hAnsi="Times New Roman"/>
          <w:sz w:val="27"/>
          <w:szCs w:val="27"/>
        </w:rPr>
        <w:t>ублей.</w:t>
      </w:r>
    </w:p>
    <w:p w:rsidR="00890B92" w:rsidRPr="00CB0943" w:rsidRDefault="00890B92" w:rsidP="00556A2F">
      <w:pPr>
        <w:numPr>
          <w:ilvl w:val="0"/>
          <w:numId w:val="2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56A2F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B0943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556A2F">
        <w:rPr>
          <w:rFonts w:ascii="Times New Roman" w:hAnsi="Times New Roman"/>
          <w:bCs/>
          <w:sz w:val="27"/>
          <w:szCs w:val="27"/>
        </w:rPr>
        <w:t>1 739,9</w:t>
      </w:r>
      <w:r w:rsidRPr="00CB0943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B094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B0943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890B92" w:rsidRPr="00CB0943" w:rsidRDefault="00556A2F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="00890B92" w:rsidRPr="00CB0943">
        <w:rPr>
          <w:rFonts w:ascii="Times New Roman" w:hAnsi="Times New Roman"/>
          <w:sz w:val="27"/>
          <w:szCs w:val="27"/>
          <w:lang w:eastAsia="ru-RU"/>
        </w:rPr>
        <w:t>средств фонда на поддержку территорий в сумме 415,0 тыс</w:t>
      </w:r>
      <w:proofErr w:type="gramStart"/>
      <w:r w:rsidR="00890B92" w:rsidRPr="00CB0943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="00890B92" w:rsidRPr="00CB0943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890B92" w:rsidRPr="00CB0943" w:rsidRDefault="00556A2F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="00890B92" w:rsidRPr="00CB0943">
        <w:rPr>
          <w:rFonts w:ascii="Times New Roman" w:hAnsi="Times New Roman"/>
          <w:sz w:val="27"/>
          <w:szCs w:val="27"/>
          <w:lang w:eastAsia="ru-RU"/>
        </w:rPr>
        <w:t xml:space="preserve">уточнения остатков </w:t>
      </w:r>
      <w:r w:rsidR="00890B92" w:rsidRPr="00CB0943">
        <w:rPr>
          <w:rFonts w:ascii="Times New Roman" w:hAnsi="Times New Roman"/>
          <w:sz w:val="27"/>
          <w:szCs w:val="27"/>
        </w:rPr>
        <w:t xml:space="preserve">нецелевых средств, сложившихся на счете по состоянию на 01.01.2024 года на оплату коммунальных услуг муниципальным бюджетным учреждениям культуры в сумме 1 324,9 </w:t>
      </w:r>
      <w:r w:rsidR="00890B92" w:rsidRPr="00CB0943">
        <w:rPr>
          <w:rFonts w:ascii="Times New Roman" w:hAnsi="Times New Roman"/>
          <w:sz w:val="27"/>
          <w:szCs w:val="27"/>
          <w:lang w:eastAsia="ru-RU"/>
        </w:rPr>
        <w:t>тыс. рублей.</w:t>
      </w:r>
    </w:p>
    <w:p w:rsidR="00556A2F" w:rsidRPr="00556A2F" w:rsidRDefault="00890B92" w:rsidP="00556A2F">
      <w:pPr>
        <w:numPr>
          <w:ilvl w:val="0"/>
          <w:numId w:val="16"/>
        </w:numPr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7"/>
          <w:szCs w:val="27"/>
        </w:rPr>
      </w:pPr>
      <w:r w:rsidRPr="00556A2F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556A2F">
        <w:rPr>
          <w:rFonts w:ascii="Times New Roman" w:hAnsi="Times New Roman"/>
          <w:bCs/>
          <w:sz w:val="27"/>
          <w:szCs w:val="27"/>
        </w:rPr>
        <w:t xml:space="preserve"> на 2023-2027 годы </w:t>
      </w:r>
      <w:r w:rsidR="00556A2F" w:rsidRPr="00556A2F">
        <w:rPr>
          <w:rFonts w:ascii="Times New Roman" w:hAnsi="Times New Roman"/>
          <w:bCs/>
          <w:sz w:val="27"/>
          <w:szCs w:val="27"/>
        </w:rPr>
        <w:t>ассигнования уменьшены на сумму 777,3 тыс</w:t>
      </w:r>
      <w:proofErr w:type="gramStart"/>
      <w:r w:rsidR="00556A2F" w:rsidRPr="00556A2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556A2F" w:rsidRPr="00556A2F">
        <w:rPr>
          <w:rFonts w:ascii="Times New Roman" w:hAnsi="Times New Roman"/>
          <w:bCs/>
          <w:sz w:val="27"/>
          <w:szCs w:val="27"/>
        </w:rPr>
        <w:t>ублей</w:t>
      </w:r>
      <w:r w:rsidR="00556A2F" w:rsidRPr="00556A2F">
        <w:rPr>
          <w:rFonts w:ascii="Times New Roman" w:hAnsi="Times New Roman"/>
          <w:sz w:val="27"/>
          <w:szCs w:val="27"/>
          <w:lang w:eastAsia="ru-RU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="00556A2F" w:rsidRPr="00556A2F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556A2F" w:rsidRPr="00556A2F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 в сумме 777,2 тыс.рублей и округления на 0,1 тыс.рублей. </w:t>
      </w:r>
    </w:p>
    <w:p w:rsidR="00890B92" w:rsidRPr="00556A2F" w:rsidRDefault="00890B92" w:rsidP="00890B92">
      <w:pPr>
        <w:numPr>
          <w:ilvl w:val="0"/>
          <w:numId w:val="2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556A2F">
        <w:rPr>
          <w:rFonts w:ascii="Times New Roman" w:hAnsi="Times New Roman"/>
          <w:bCs/>
          <w:sz w:val="27"/>
          <w:szCs w:val="27"/>
        </w:rPr>
        <w:t xml:space="preserve">5. </w:t>
      </w:r>
      <w:r w:rsidRPr="00556A2F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556A2F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56A2F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556A2F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18,9 тыс</w:t>
      </w:r>
      <w:proofErr w:type="gramStart"/>
      <w:r w:rsidRPr="00556A2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56A2F">
        <w:rPr>
          <w:rFonts w:ascii="Times New Roman" w:hAnsi="Times New Roman"/>
          <w:bCs/>
          <w:sz w:val="27"/>
          <w:szCs w:val="27"/>
        </w:rPr>
        <w:t>ублей</w:t>
      </w:r>
      <w:r w:rsidRPr="00556A2F">
        <w:rPr>
          <w:rFonts w:ascii="Times New Roman" w:hAnsi="Times New Roman"/>
          <w:sz w:val="27"/>
          <w:szCs w:val="27"/>
          <w:lang w:eastAsia="ru-RU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Pr="00556A2F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556A2F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992099" w:rsidRPr="00CB0943" w:rsidRDefault="00992099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Ассигнования по муниципальным программам планового периода 2025 и 2026 годов по отношению к утвержденному бюджету в редакции от 0</w:t>
      </w:r>
      <w:r w:rsidR="00890B92" w:rsidRPr="00CB0943">
        <w:rPr>
          <w:rFonts w:ascii="Times New Roman" w:hAnsi="Times New Roman"/>
          <w:sz w:val="27"/>
          <w:szCs w:val="27"/>
        </w:rPr>
        <w:t>9</w:t>
      </w:r>
      <w:r w:rsidRPr="00CB0943">
        <w:rPr>
          <w:rFonts w:ascii="Times New Roman" w:hAnsi="Times New Roman"/>
          <w:sz w:val="27"/>
          <w:szCs w:val="27"/>
        </w:rPr>
        <w:t>.0</w:t>
      </w:r>
      <w:r w:rsidR="00890B92" w:rsidRPr="00CB0943">
        <w:rPr>
          <w:rFonts w:ascii="Times New Roman" w:hAnsi="Times New Roman"/>
          <w:sz w:val="27"/>
          <w:szCs w:val="27"/>
        </w:rPr>
        <w:t>2.2024 года №8</w:t>
      </w:r>
      <w:r w:rsidRPr="00CB0943">
        <w:rPr>
          <w:rFonts w:ascii="Times New Roman" w:hAnsi="Times New Roman"/>
          <w:sz w:val="27"/>
          <w:szCs w:val="27"/>
        </w:rPr>
        <w:t xml:space="preserve"> не изменились и составили 676 622,3 тыс. рублей и 638 606,4 тыс. рублей соответственно.</w:t>
      </w:r>
    </w:p>
    <w:p w:rsidR="00890B92" w:rsidRPr="00CB0943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09.02.2024 года №8 на 2024 год </w:t>
      </w:r>
      <w:r w:rsidRPr="00CB0943">
        <w:rPr>
          <w:rFonts w:ascii="Times New Roman" w:hAnsi="Times New Roman"/>
          <w:sz w:val="27"/>
          <w:szCs w:val="27"/>
          <w:lang w:eastAsia="ru-RU"/>
        </w:rPr>
        <w:t>увеличились на сумму 581,1 тыс</w:t>
      </w:r>
      <w:proofErr w:type="gramStart"/>
      <w:r w:rsidRPr="00CB0943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CB0943">
        <w:rPr>
          <w:rFonts w:ascii="Times New Roman" w:hAnsi="Times New Roman"/>
          <w:sz w:val="27"/>
          <w:szCs w:val="27"/>
          <w:lang w:eastAsia="ru-RU"/>
        </w:rPr>
        <w:t>ублей и составили 18 442,1 тыс. рублей. С</w:t>
      </w:r>
      <w:r w:rsidRPr="00CB0943">
        <w:rPr>
          <w:rFonts w:ascii="Times New Roman" w:hAnsi="Times New Roman"/>
          <w:sz w:val="27"/>
          <w:szCs w:val="27"/>
        </w:rPr>
        <w:t xml:space="preserve">огласно Пояснительной записке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увеличение произошло</w:t>
      </w:r>
      <w:r w:rsidRPr="00CB0943">
        <w:rPr>
          <w:rFonts w:ascii="Times New Roman" w:hAnsi="Times New Roman"/>
          <w:bCs/>
          <w:sz w:val="27"/>
          <w:szCs w:val="27"/>
        </w:rPr>
        <w:t>:</w:t>
      </w:r>
      <w:r w:rsidRPr="00CB0943">
        <w:rPr>
          <w:rFonts w:ascii="Times New Roman" w:hAnsi="Times New Roman"/>
          <w:sz w:val="27"/>
          <w:szCs w:val="27"/>
        </w:rPr>
        <w:t xml:space="preserve"> </w:t>
      </w:r>
    </w:p>
    <w:p w:rsidR="00890B92" w:rsidRPr="00CB0943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  <w:lang w:eastAsia="ru-RU"/>
        </w:rPr>
        <w:t xml:space="preserve">за счет передвижки бюджетных ассигнований по главному распорядителю бюджетных средств «Администрация </w:t>
      </w:r>
      <w:proofErr w:type="spellStart"/>
      <w:r w:rsidRPr="00CB0943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</w:t>
      </w: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543549" w:rsidRPr="00CB0943">
        <w:rPr>
          <w:rFonts w:ascii="Times New Roman" w:hAnsi="Times New Roman"/>
          <w:sz w:val="27"/>
          <w:szCs w:val="27"/>
        </w:rPr>
        <w:t>9</w:t>
      </w:r>
      <w:r w:rsidR="00992099" w:rsidRPr="00CB0943">
        <w:rPr>
          <w:rFonts w:ascii="Times New Roman" w:hAnsi="Times New Roman"/>
          <w:sz w:val="27"/>
          <w:szCs w:val="27"/>
        </w:rPr>
        <w:t>0.0</w:t>
      </w:r>
      <w:r w:rsidR="00543549" w:rsidRPr="00CB0943">
        <w:rPr>
          <w:rFonts w:ascii="Times New Roman" w:hAnsi="Times New Roman"/>
          <w:sz w:val="27"/>
          <w:szCs w:val="27"/>
        </w:rPr>
        <w:t>2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543549" w:rsidRPr="00CB0943">
        <w:rPr>
          <w:rFonts w:ascii="Times New Roman" w:hAnsi="Times New Roman"/>
          <w:sz w:val="27"/>
          <w:szCs w:val="27"/>
        </w:rPr>
        <w:t>8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lastRenderedPageBreak/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- Приложение № 2 «</w:t>
      </w:r>
      <w:r w:rsidRPr="00CB0943">
        <w:rPr>
          <w:rFonts w:ascii="Times New Roman" w:hAnsi="Times New Roman"/>
          <w:bCs/>
          <w:sz w:val="27"/>
          <w:szCs w:val="27"/>
        </w:rPr>
        <w:t xml:space="preserve">Источники финансирования дефицита бюджета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5020A2">
        <w:tc>
          <w:tcPr>
            <w:tcW w:w="4927" w:type="dxa"/>
          </w:tcPr>
          <w:p w:rsidR="009A5763" w:rsidRDefault="009A5763" w:rsidP="0054354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0</w:t>
            </w:r>
            <w:r w:rsidR="00543549">
              <w:t>9</w:t>
            </w:r>
            <w:r>
              <w:t>.</w:t>
            </w:r>
            <w:r w:rsidR="00142F5C">
              <w:t>0</w:t>
            </w:r>
            <w:r w:rsidR="00543549">
              <w:t>2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543549">
              <w:t>8</w:t>
            </w:r>
          </w:p>
        </w:tc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5020A2">
        <w:tc>
          <w:tcPr>
            <w:tcW w:w="4927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2024 год в сумме </w:t>
            </w:r>
            <w:r w:rsidR="005435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464 768,0</w:t>
            </w:r>
            <w:r w:rsidR="00543549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543549"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</w:t>
            </w:r>
            <w:r w:rsidR="005435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6 651,1</w:t>
            </w:r>
            <w:r w:rsidR="00543549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2025 год в сумме </w:t>
            </w:r>
            <w:r w:rsidR="00142F5C"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412 578,4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293 622,3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D14F8">
              <w:rPr>
                <w:bCs/>
                <w:sz w:val="24"/>
                <w:szCs w:val="24"/>
              </w:rPr>
              <w:t xml:space="preserve">3) на 2026 год </w:t>
            </w:r>
            <w:r w:rsidRPr="00BD14F8">
              <w:rPr>
                <w:rFonts w:eastAsia="MS Mincho"/>
                <w:sz w:val="24"/>
                <w:szCs w:val="24"/>
              </w:rPr>
              <w:t xml:space="preserve">в сумме </w:t>
            </w:r>
            <w:r w:rsidR="00142F5C" w:rsidRPr="00142F5C">
              <w:rPr>
                <w:rFonts w:eastAsia="MS Mincho"/>
                <w:sz w:val="24"/>
                <w:szCs w:val="24"/>
              </w:rPr>
              <w:t>367 463,4</w:t>
            </w:r>
            <w:r w:rsidR="00142F5C" w:rsidRPr="0005075E">
              <w:rPr>
                <w:rFonts w:eastAsia="MS Mincho"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142F5C">
              <w:rPr>
                <w:rFonts w:eastAsia="MS Mincho"/>
                <w:sz w:val="24"/>
                <w:szCs w:val="24"/>
              </w:rPr>
              <w:t>247 565,1</w:t>
            </w:r>
            <w:r w:rsidR="00142F5C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BD14F8">
              <w:rPr>
                <w:rFonts w:eastAsia="MS Mincho"/>
                <w:sz w:val="24"/>
                <w:szCs w:val="24"/>
              </w:rPr>
              <w:t>ублей..»</w:t>
            </w:r>
          </w:p>
        </w:tc>
        <w:tc>
          <w:tcPr>
            <w:tcW w:w="4927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5435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465 183,0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54354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317 066,1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412 578,4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293 622,3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050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367 463,4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247 565,1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543549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lastRenderedPageBreak/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543549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59 635,1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543549" w:rsidRPr="00CD3761">
        <w:rPr>
          <w:rFonts w:ascii="Times New Roman" w:eastAsia="Times New Roman" w:hAnsi="Times New Roman"/>
          <w:sz w:val="27"/>
          <w:szCs w:val="27"/>
          <w:lang w:eastAsia="ru-RU"/>
        </w:rPr>
        <w:t>54 232,5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543549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59 635,1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543549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59 635,1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Pr="00CD3761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B44726" w:rsidRPr="00CD3761">
        <w:rPr>
          <w:sz w:val="27"/>
          <w:szCs w:val="27"/>
        </w:rPr>
        <w:t>54 232,5</w:t>
      </w:r>
      <w:r w:rsidRPr="00CD3761">
        <w:rPr>
          <w:sz w:val="27"/>
          <w:szCs w:val="27"/>
        </w:rPr>
        <w:t xml:space="preserve"> тыс. руб. или </w:t>
      </w:r>
      <w:r w:rsidR="00543549" w:rsidRPr="00CD3761">
        <w:rPr>
          <w:sz w:val="27"/>
          <w:szCs w:val="27"/>
        </w:rPr>
        <w:t>68,7%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Pr="00CD3761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D60CBD" w:rsidRPr="00CD3761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AB67CE" w:rsidRPr="00CD3761">
        <w:rPr>
          <w:sz w:val="27"/>
          <w:szCs w:val="27"/>
        </w:rPr>
        <w:t>6 931,7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67407B" w:rsidRPr="00CD3761">
        <w:rPr>
          <w:sz w:val="27"/>
          <w:szCs w:val="27"/>
          <w:lang w:eastAsia="ru-RU"/>
        </w:rPr>
        <w:t>относительно бюджета</w:t>
      </w:r>
      <w:r w:rsidR="00B44726" w:rsidRPr="00CD3761">
        <w:rPr>
          <w:sz w:val="27"/>
          <w:szCs w:val="27"/>
          <w:lang w:eastAsia="ru-RU"/>
        </w:rPr>
        <w:t xml:space="preserve"> в редакции </w:t>
      </w:r>
      <w:r w:rsidR="0067407B" w:rsidRPr="00CD3761">
        <w:rPr>
          <w:sz w:val="27"/>
          <w:szCs w:val="27"/>
          <w:lang w:eastAsia="ru-RU"/>
        </w:rPr>
        <w:t xml:space="preserve">от </w:t>
      </w:r>
      <w:r w:rsidR="00AB67CE" w:rsidRPr="00CD3761">
        <w:rPr>
          <w:sz w:val="27"/>
          <w:szCs w:val="27"/>
          <w:lang w:eastAsia="ru-RU"/>
        </w:rPr>
        <w:t>0</w:t>
      </w:r>
      <w:r w:rsidR="007C2E21" w:rsidRPr="00CD3761">
        <w:rPr>
          <w:sz w:val="27"/>
          <w:szCs w:val="27"/>
          <w:lang w:eastAsia="ru-RU"/>
        </w:rPr>
        <w:t>9</w:t>
      </w:r>
      <w:r w:rsidR="00AF35B0" w:rsidRPr="00CD3761">
        <w:rPr>
          <w:sz w:val="27"/>
          <w:szCs w:val="27"/>
          <w:lang w:eastAsia="ru-RU"/>
        </w:rPr>
        <w:t>.</w:t>
      </w:r>
      <w:r w:rsidR="00B44726" w:rsidRPr="00CD3761">
        <w:rPr>
          <w:sz w:val="27"/>
          <w:szCs w:val="27"/>
          <w:lang w:eastAsia="ru-RU"/>
        </w:rPr>
        <w:t>0</w:t>
      </w:r>
      <w:r w:rsidR="007C2E21" w:rsidRPr="00CD3761">
        <w:rPr>
          <w:sz w:val="27"/>
          <w:szCs w:val="27"/>
          <w:lang w:eastAsia="ru-RU"/>
        </w:rPr>
        <w:t>2</w:t>
      </w:r>
      <w:r w:rsidR="0067407B" w:rsidRPr="00CD3761">
        <w:rPr>
          <w:sz w:val="27"/>
          <w:szCs w:val="27"/>
          <w:lang w:eastAsia="ru-RU"/>
        </w:rPr>
        <w:t>.20</w:t>
      </w:r>
      <w:r w:rsidR="00B82D3A" w:rsidRPr="00CD3761">
        <w:rPr>
          <w:sz w:val="27"/>
          <w:szCs w:val="27"/>
          <w:lang w:eastAsia="ru-RU"/>
        </w:rPr>
        <w:t>2</w:t>
      </w:r>
      <w:r w:rsidR="00B44726" w:rsidRPr="00CD3761">
        <w:rPr>
          <w:sz w:val="27"/>
          <w:szCs w:val="27"/>
          <w:lang w:eastAsia="ru-RU"/>
        </w:rPr>
        <w:t>4</w:t>
      </w:r>
      <w:r w:rsidR="0067407B" w:rsidRPr="00CD3761">
        <w:rPr>
          <w:sz w:val="27"/>
          <w:szCs w:val="27"/>
          <w:lang w:eastAsia="ru-RU"/>
        </w:rPr>
        <w:t xml:space="preserve"> года №</w:t>
      </w:r>
      <w:r w:rsidR="007C2E21" w:rsidRPr="00CD3761">
        <w:rPr>
          <w:sz w:val="27"/>
          <w:szCs w:val="27"/>
          <w:lang w:eastAsia="ru-RU"/>
        </w:rPr>
        <w:t>8</w:t>
      </w:r>
      <w:r w:rsidR="0067407B" w:rsidRPr="00CD3761">
        <w:rPr>
          <w:sz w:val="27"/>
          <w:szCs w:val="27"/>
        </w:rPr>
        <w:t xml:space="preserve"> сумма </w:t>
      </w:r>
      <w:r w:rsidR="00C90CCE" w:rsidRPr="00CD3761">
        <w:rPr>
          <w:sz w:val="27"/>
          <w:szCs w:val="27"/>
        </w:rPr>
        <w:t xml:space="preserve">резервного фонда </w:t>
      </w:r>
      <w:r w:rsidR="0067407B" w:rsidRPr="00CD3761">
        <w:rPr>
          <w:sz w:val="27"/>
          <w:szCs w:val="27"/>
        </w:rPr>
        <w:t>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="00154B5A" w:rsidRPr="00CD3761">
        <w:rPr>
          <w:sz w:val="27"/>
          <w:szCs w:val="27"/>
        </w:rPr>
        <w:t xml:space="preserve"> год</w:t>
      </w:r>
      <w:r w:rsidR="00E24336" w:rsidRPr="00CD3761">
        <w:rPr>
          <w:sz w:val="27"/>
          <w:szCs w:val="27"/>
        </w:rPr>
        <w:t xml:space="preserve"> и плановый период</w:t>
      </w:r>
      <w:r w:rsidR="00154B5A"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осталась неизменной</w:t>
      </w:r>
      <w:r w:rsidR="0067407B" w:rsidRPr="00CD3761">
        <w:rPr>
          <w:sz w:val="27"/>
          <w:szCs w:val="27"/>
        </w:rPr>
        <w:t xml:space="preserve">.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D140E9" w:rsidRPr="00CD3761">
        <w:rPr>
          <w:rFonts w:ascii="Times New Roman" w:hAnsi="Times New Roman"/>
          <w:sz w:val="27"/>
          <w:szCs w:val="27"/>
        </w:rPr>
        <w:t>19 419,7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относительно бюджета в редакции от 09.02.2024 года №8</w:t>
      </w:r>
      <w:r w:rsidR="007C2E21" w:rsidRPr="00CD3761">
        <w:rPr>
          <w:rFonts w:ascii="Times New Roman" w:hAnsi="Times New Roman"/>
          <w:sz w:val="27"/>
          <w:szCs w:val="27"/>
        </w:rPr>
        <w:t xml:space="preserve"> бюджетные ассигнования Дорожного фонда </w:t>
      </w:r>
      <w:proofErr w:type="spellStart"/>
      <w:r w:rsidR="007C2E21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C2E21" w:rsidRPr="00CD3761">
        <w:rPr>
          <w:rFonts w:ascii="Times New Roman" w:hAnsi="Times New Roman"/>
          <w:sz w:val="27"/>
          <w:szCs w:val="27"/>
        </w:rPr>
        <w:t xml:space="preserve"> муниципального округа на 2024 год и плановый период не изменяются</w:t>
      </w:r>
      <w:r w:rsidR="00D140E9" w:rsidRPr="00CD3761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Pr="00CD3761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lastRenderedPageBreak/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543D52" w:rsidRPr="00CD3761" w:rsidRDefault="003548F9" w:rsidP="00543D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1. </w:t>
      </w:r>
      <w:r w:rsidR="00543D52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 w:rsidR="00B03C07"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="00B03C07"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="00543D52" w:rsidRPr="00CD3761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Pr="00CD3761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увеличится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11 766,6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руб. за счет 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иных межбюджетных трансфертов из фонда на поддержку территорий в сумме 415,0 тыс. рублей; </w:t>
      </w:r>
      <w:r w:rsidR="003416EB" w:rsidRPr="00CD3761">
        <w:rPr>
          <w:rFonts w:ascii="Times New Roman" w:hAnsi="Times New Roman"/>
          <w:sz w:val="27"/>
          <w:szCs w:val="27"/>
        </w:rPr>
        <w:t xml:space="preserve">возврата остатков 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="003416EB" w:rsidRPr="00CD3761">
        <w:rPr>
          <w:rFonts w:ascii="Times New Roman" w:hAnsi="Times New Roman"/>
          <w:sz w:val="27"/>
          <w:szCs w:val="27"/>
        </w:rPr>
        <w:t xml:space="preserve"> на приобретение двух единиц специальной коммунальной техники в сумме 11 351,6 тыс. рублей (сумма неиспользованного остатка субсидии, потребность в которой подтверждена).</w:t>
      </w:r>
    </w:p>
    <w:p w:rsidR="009D0DAB" w:rsidRPr="00CD3761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17 169,2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руб.,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942BC1" w:rsidRPr="00CD3761">
        <w:rPr>
          <w:rFonts w:ascii="Times New Roman" w:hAnsi="Times New Roman"/>
          <w:color w:val="000000"/>
          <w:sz w:val="27"/>
          <w:szCs w:val="27"/>
        </w:rPr>
        <w:t>415,0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тыс. рублей)</w:t>
      </w:r>
      <w:r w:rsidR="00942BC1" w:rsidRPr="00CD3761">
        <w:rPr>
          <w:rFonts w:ascii="Times New Roman" w:hAnsi="Times New Roman"/>
          <w:color w:val="000000"/>
          <w:sz w:val="27"/>
          <w:szCs w:val="27"/>
        </w:rPr>
        <w:t>;</w:t>
      </w:r>
      <w:r w:rsidR="00942BC1" w:rsidRPr="00CD3761">
        <w:rPr>
          <w:rFonts w:ascii="Times New Roman" w:hAnsi="Times New Roman"/>
          <w:sz w:val="27"/>
          <w:szCs w:val="27"/>
        </w:rPr>
        <w:t xml:space="preserve"> за счет возврата остатков </w:t>
      </w:r>
      <w:r w:rsidR="00942BC1" w:rsidRPr="00CD3761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Резервного фонда Правительства Нижегородской области</w:t>
      </w:r>
      <w:r w:rsidR="00942BC1" w:rsidRPr="00CD3761">
        <w:rPr>
          <w:rFonts w:ascii="Times New Roman" w:hAnsi="Times New Roman"/>
          <w:sz w:val="27"/>
          <w:szCs w:val="27"/>
        </w:rPr>
        <w:t xml:space="preserve"> в сумме 11 351,6 тыс. рублей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и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за счет остатков средств на счетах по учету средств местного бюджета, сложившихся на 01.01.2024 и предлагаемых к распределению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942BC1" w:rsidRPr="00CD3761">
        <w:rPr>
          <w:rFonts w:ascii="Times New Roman" w:hAnsi="Times New Roman"/>
          <w:color w:val="000000"/>
          <w:sz w:val="27"/>
          <w:szCs w:val="27"/>
        </w:rPr>
        <w:t>5 402,6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тыс. рублей)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Pr="00CD3761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7F01AD" w:rsidRPr="00CD3761">
        <w:rPr>
          <w:rFonts w:ascii="Times New Roman" w:hAnsi="Times New Roman"/>
          <w:color w:val="000000"/>
          <w:sz w:val="27"/>
          <w:szCs w:val="27"/>
        </w:rPr>
        <w:t>5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16 588,1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руб. или на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2,2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увеличатся на 581,1 тыс. рублей и составят 18 442,1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</w:t>
      </w:r>
      <w:r w:rsidR="00FE557A">
        <w:rPr>
          <w:rFonts w:ascii="Times New Roman" w:hAnsi="Times New Roman"/>
          <w:sz w:val="27"/>
          <w:szCs w:val="27"/>
        </w:rPr>
        <w:t xml:space="preserve"> </w:t>
      </w:r>
      <w:r w:rsidRPr="00CD3761">
        <w:rPr>
          <w:rFonts w:ascii="Times New Roman" w:hAnsi="Times New Roman"/>
          <w:sz w:val="27"/>
          <w:szCs w:val="27"/>
        </w:rPr>
        <w:t>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59 635,1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руб., который не противоречит требованиям статьи 92.1 Бюджетного кодекса РФ.</w:t>
      </w:r>
    </w:p>
    <w:p w:rsidR="009D0DAB" w:rsidRPr="00CD3761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</w:t>
      </w:r>
      <w:r w:rsidR="007F01AD" w:rsidRPr="00CD3761">
        <w:rPr>
          <w:rFonts w:ascii="Times New Roman" w:hAnsi="Times New Roman"/>
          <w:color w:val="000000"/>
          <w:sz w:val="27"/>
          <w:szCs w:val="27"/>
        </w:rPr>
        <w:t>не изменяются</w:t>
      </w:r>
      <w:r w:rsidRPr="00CD3761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CB0943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AF" w:rsidRDefault="00D346AF" w:rsidP="00D80463">
      <w:pPr>
        <w:spacing w:after="0" w:line="240" w:lineRule="auto"/>
      </w:pPr>
      <w:r>
        <w:separator/>
      </w:r>
    </w:p>
  </w:endnote>
  <w:endnote w:type="continuationSeparator" w:id="0">
    <w:p w:rsidR="00D346AF" w:rsidRDefault="00D346AF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AF" w:rsidRDefault="00D346AF" w:rsidP="00D80463">
      <w:pPr>
        <w:spacing w:after="0" w:line="240" w:lineRule="auto"/>
      </w:pPr>
      <w:r>
        <w:separator/>
      </w:r>
    </w:p>
  </w:footnote>
  <w:footnote w:type="continuationSeparator" w:id="0">
    <w:p w:rsidR="00D346AF" w:rsidRDefault="00D346AF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C1" w:rsidRPr="008F6508" w:rsidRDefault="00CE2DC1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886AC1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FE557A">
      <w:rPr>
        <w:rFonts w:ascii="Times New Roman" w:hAnsi="Times New Roman"/>
        <w:noProof/>
      </w:rPr>
      <w:t>15</w:t>
    </w:r>
    <w:r w:rsidRPr="008F6508">
      <w:rPr>
        <w:rFonts w:ascii="Times New Roman" w:hAnsi="Times New Roman"/>
      </w:rPr>
      <w:fldChar w:fldCharType="end"/>
    </w:r>
  </w:p>
  <w:p w:rsidR="00886AC1" w:rsidRDefault="00886AC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C1" w:rsidRDefault="00886AC1">
    <w:pPr>
      <w:pStyle w:val="a7"/>
      <w:jc w:val="center"/>
    </w:pPr>
  </w:p>
  <w:p w:rsidR="00886AC1" w:rsidRDefault="00886A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7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3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4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9"/>
  </w:num>
  <w:num w:numId="9">
    <w:abstractNumId w:val="17"/>
  </w:num>
  <w:num w:numId="10">
    <w:abstractNumId w:val="22"/>
  </w:num>
  <w:num w:numId="11">
    <w:abstractNumId w:val="6"/>
  </w:num>
  <w:num w:numId="12">
    <w:abstractNumId w:val="20"/>
  </w:num>
  <w:num w:numId="13">
    <w:abstractNumId w:val="3"/>
  </w:num>
  <w:num w:numId="14">
    <w:abstractNumId w:val="10"/>
  </w:num>
  <w:num w:numId="15">
    <w:abstractNumId w:val="18"/>
  </w:num>
  <w:num w:numId="16">
    <w:abstractNumId w:val="21"/>
  </w:num>
  <w:num w:numId="17">
    <w:abstractNumId w:val="0"/>
  </w:num>
  <w:num w:numId="18">
    <w:abstractNumId w:val="5"/>
  </w:num>
  <w:num w:numId="19">
    <w:abstractNumId w:val="7"/>
  </w:num>
  <w:num w:numId="20">
    <w:abstractNumId w:val="19"/>
  </w:num>
  <w:num w:numId="21">
    <w:abstractNumId w:val="23"/>
  </w:num>
  <w:num w:numId="22">
    <w:abstractNumId w:val="15"/>
  </w:num>
  <w:num w:numId="23">
    <w:abstractNumId w:val="12"/>
  </w:num>
  <w:num w:numId="24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54BA"/>
    <w:rsid w:val="004F60EF"/>
    <w:rsid w:val="005020A2"/>
    <w:rsid w:val="00502902"/>
    <w:rsid w:val="00503479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664"/>
    <w:rsid w:val="006509C1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98F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2DC1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46AF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57A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1544-1E9A-4BDA-910E-0D00F0F6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4989</Words>
  <Characters>28441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33364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4</cp:revision>
  <cp:lastPrinted>2024-03-14T13:00:00Z</cp:lastPrinted>
  <dcterms:created xsi:type="dcterms:W3CDTF">2024-03-14T12:23:00Z</dcterms:created>
  <dcterms:modified xsi:type="dcterms:W3CDTF">2025-01-30T05:32:00Z</dcterms:modified>
</cp:coreProperties>
</file>